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C1066" w:rsidRPr="00DD3D3A" w:rsidRDefault="00AC1066" w:rsidP="00443075">
      <w:pPr>
        <w:rPr>
          <w:rFonts w:ascii="Times New Roman" w:hAnsi="Times New Roman" w:cs="Times New Roman"/>
          <w:b/>
          <w:bCs/>
          <w:i/>
          <w:iCs/>
          <w:sz w:val="24"/>
          <w:szCs w:val="24"/>
          <w:u w:val="single"/>
        </w:rPr>
      </w:pPr>
      <w:r w:rsidRPr="00DD3D3A">
        <w:rPr>
          <w:rFonts w:ascii="Times New Roman" w:hAnsi="Times New Roman" w:cs="Times New Roman"/>
          <w:b/>
          <w:bCs/>
          <w:i/>
          <w:iCs/>
          <w:sz w:val="24"/>
          <w:szCs w:val="24"/>
          <w:u w:val="single"/>
        </w:rPr>
        <w:t xml:space="preserve">Anexa </w:t>
      </w:r>
      <w:r w:rsidR="007E4EE3">
        <w:rPr>
          <w:rFonts w:ascii="Times New Roman" w:hAnsi="Times New Roman" w:cs="Times New Roman"/>
          <w:b/>
          <w:bCs/>
          <w:i/>
          <w:iCs/>
          <w:sz w:val="24"/>
          <w:szCs w:val="24"/>
          <w:u w:val="single"/>
        </w:rPr>
        <w:t xml:space="preserve">2 </w:t>
      </w:r>
      <w:r w:rsidR="00443075" w:rsidRPr="00DD3D3A">
        <w:rPr>
          <w:rFonts w:ascii="Times New Roman" w:hAnsi="Times New Roman" w:cs="Times New Roman"/>
          <w:b/>
          <w:bCs/>
          <w:i/>
          <w:iCs/>
          <w:sz w:val="24"/>
          <w:szCs w:val="24"/>
          <w:u w:val="single"/>
        </w:rPr>
        <w:t>la Procedura de Monitorizare</w:t>
      </w:r>
    </w:p>
    <w:p w:rsidR="00AC1066" w:rsidRDefault="00AC1066" w:rsidP="00D44847">
      <w:pPr>
        <w:jc w:val="center"/>
        <w:rPr>
          <w:rFonts w:ascii="Times New Roman" w:hAnsi="Times New Roman" w:cs="Times New Roman"/>
          <w:b/>
          <w:bCs/>
          <w:i/>
          <w:iCs/>
          <w:sz w:val="24"/>
          <w:szCs w:val="24"/>
        </w:rPr>
      </w:pPr>
    </w:p>
    <w:p w:rsidR="00A63DCF" w:rsidRDefault="00D44847" w:rsidP="00D44847">
      <w:pPr>
        <w:jc w:val="center"/>
        <w:rPr>
          <w:rFonts w:ascii="Times New Roman" w:hAnsi="Times New Roman" w:cs="Times New Roman"/>
          <w:b/>
          <w:bCs/>
          <w:i/>
          <w:iCs/>
          <w:sz w:val="28"/>
          <w:szCs w:val="28"/>
        </w:rPr>
      </w:pPr>
      <w:r w:rsidRPr="00A63DCF">
        <w:rPr>
          <w:rFonts w:ascii="Times New Roman" w:hAnsi="Times New Roman" w:cs="Times New Roman"/>
          <w:b/>
          <w:bCs/>
          <w:i/>
          <w:iCs/>
          <w:sz w:val="28"/>
          <w:szCs w:val="28"/>
        </w:rPr>
        <w:t xml:space="preserve">EXTRASE DIN SIDD DD </w:t>
      </w:r>
    </w:p>
    <w:p w:rsidR="00A63DCF" w:rsidRPr="00A63DCF" w:rsidRDefault="00A63DCF" w:rsidP="00D44847">
      <w:pPr>
        <w:jc w:val="center"/>
        <w:rPr>
          <w:rFonts w:ascii="Times New Roman" w:hAnsi="Times New Roman" w:cs="Times New Roman"/>
          <w:b/>
          <w:bCs/>
          <w:i/>
          <w:iCs/>
          <w:sz w:val="28"/>
          <w:szCs w:val="28"/>
        </w:rPr>
      </w:pPr>
    </w:p>
    <w:p w:rsidR="00D44847" w:rsidRPr="00A63DCF" w:rsidRDefault="00D44847" w:rsidP="00A63DCF">
      <w:pPr>
        <w:pStyle w:val="ListParagraph"/>
        <w:numPr>
          <w:ilvl w:val="0"/>
          <w:numId w:val="6"/>
        </w:numPr>
        <w:jc w:val="both"/>
        <w:rPr>
          <w:rFonts w:ascii="Times New Roman" w:hAnsi="Times New Roman" w:cs="Times New Roman"/>
          <w:b/>
          <w:bCs/>
          <w:iCs/>
          <w:color w:val="0070C0"/>
          <w:sz w:val="24"/>
          <w:szCs w:val="24"/>
        </w:rPr>
      </w:pPr>
      <w:bookmarkStart w:id="0" w:name="_GoBack"/>
      <w:bookmarkEnd w:id="0"/>
      <w:r w:rsidRPr="00A63DCF">
        <w:rPr>
          <w:rFonts w:ascii="Times New Roman" w:hAnsi="Times New Roman" w:cs="Times New Roman"/>
          <w:b/>
          <w:bCs/>
          <w:iCs/>
          <w:color w:val="0070C0"/>
          <w:sz w:val="24"/>
          <w:szCs w:val="24"/>
        </w:rPr>
        <w:t>PENTRU FIECARE PRIORITATE DE INVESTIȚII PNDR</w:t>
      </w:r>
    </w:p>
    <w:p w:rsidR="00D44847" w:rsidRPr="00DA75BF" w:rsidRDefault="00D44847" w:rsidP="00D44847">
      <w:pPr>
        <w:jc w:val="both"/>
        <w:rPr>
          <w:rFonts w:ascii="Times New Roman" w:hAnsi="Times New Roman" w:cs="Times New Roman"/>
          <w:bCs/>
          <w:iCs/>
          <w:sz w:val="24"/>
          <w:szCs w:val="24"/>
        </w:rPr>
      </w:pPr>
    </w:p>
    <w:p w:rsidR="002816D1" w:rsidRDefault="002816D1" w:rsidP="002816D1">
      <w:pPr>
        <w:jc w:val="both"/>
        <w:rPr>
          <w:rFonts w:ascii="Times New Roman" w:hAnsi="Times New Roman" w:cs="Times New Roman"/>
          <w:bCs/>
          <w:i/>
          <w:iCs/>
          <w:sz w:val="24"/>
          <w:szCs w:val="24"/>
        </w:rPr>
      </w:pPr>
      <w:bookmarkStart w:id="1" w:name="_Toc431490490"/>
      <w:bookmarkStart w:id="2" w:name="_Toc435706746"/>
      <w:bookmarkStart w:id="3" w:name="_Toc458518832"/>
      <w:r w:rsidRPr="00DA75BF">
        <w:rPr>
          <w:rFonts w:ascii="Times New Roman" w:hAnsi="Times New Roman" w:cs="Times New Roman"/>
          <w:bCs/>
          <w:i/>
          <w:iCs/>
          <w:sz w:val="24"/>
          <w:szCs w:val="24"/>
        </w:rPr>
        <w:t xml:space="preserve">Când se </w:t>
      </w:r>
      <w:r>
        <w:rPr>
          <w:rFonts w:ascii="Times New Roman" w:hAnsi="Times New Roman" w:cs="Times New Roman"/>
          <w:bCs/>
          <w:i/>
          <w:iCs/>
          <w:sz w:val="24"/>
          <w:szCs w:val="24"/>
        </w:rPr>
        <w:t>redactează</w:t>
      </w:r>
      <w:r w:rsidRPr="00DA75BF">
        <w:rPr>
          <w:rFonts w:ascii="Times New Roman" w:hAnsi="Times New Roman" w:cs="Times New Roman"/>
          <w:bCs/>
          <w:i/>
          <w:iCs/>
          <w:sz w:val="24"/>
          <w:szCs w:val="24"/>
        </w:rPr>
        <w:t xml:space="preserve"> </w:t>
      </w:r>
      <w:r>
        <w:rPr>
          <w:rFonts w:ascii="Times New Roman" w:hAnsi="Times New Roman" w:cs="Times New Roman"/>
          <w:bCs/>
          <w:i/>
          <w:iCs/>
          <w:color w:val="0070C0"/>
          <w:sz w:val="24"/>
          <w:szCs w:val="24"/>
        </w:rPr>
        <w:t>Cererea de finanțare</w:t>
      </w:r>
      <w:r w:rsidRPr="00DA75BF">
        <w:rPr>
          <w:rFonts w:ascii="Times New Roman" w:hAnsi="Times New Roman" w:cs="Times New Roman"/>
          <w:bCs/>
          <w:i/>
          <w:iCs/>
          <w:sz w:val="24"/>
          <w:szCs w:val="24"/>
        </w:rPr>
        <w:t xml:space="preserve">, </w:t>
      </w:r>
      <w:r>
        <w:rPr>
          <w:rFonts w:ascii="Times New Roman" w:hAnsi="Times New Roman" w:cs="Times New Roman"/>
          <w:bCs/>
          <w:i/>
          <w:iCs/>
          <w:sz w:val="24"/>
          <w:szCs w:val="24"/>
        </w:rPr>
        <w:t xml:space="preserve">se va ține cont de prevederile legate de incadrarea proiectului în </w:t>
      </w:r>
      <w:r w:rsidRPr="002816D1">
        <w:rPr>
          <w:rFonts w:ascii="Times New Roman" w:hAnsi="Times New Roman" w:cs="Times New Roman"/>
          <w:b/>
          <w:bCs/>
          <w:i/>
          <w:iCs/>
          <w:sz w:val="24"/>
          <w:szCs w:val="24"/>
        </w:rPr>
        <w:t>Strategia Integrată de Dezvoltare Durabilă a Deltei Dunării</w:t>
      </w:r>
      <w:r w:rsidRPr="00DA75BF">
        <w:rPr>
          <w:rFonts w:ascii="Times New Roman" w:hAnsi="Times New Roman" w:cs="Times New Roman"/>
          <w:bCs/>
          <w:i/>
          <w:iCs/>
          <w:sz w:val="24"/>
          <w:szCs w:val="24"/>
        </w:rPr>
        <w:t xml:space="preserve">. </w:t>
      </w:r>
    </w:p>
    <w:p w:rsidR="002816D1" w:rsidRDefault="002816D1" w:rsidP="002816D1">
      <w:pPr>
        <w:jc w:val="both"/>
        <w:rPr>
          <w:rFonts w:ascii="Times New Roman" w:hAnsi="Times New Roman" w:cs="Times New Roman"/>
          <w:bCs/>
          <w:i/>
          <w:iCs/>
          <w:sz w:val="24"/>
          <w:szCs w:val="24"/>
        </w:rPr>
      </w:pPr>
      <w:r>
        <w:rPr>
          <w:rFonts w:ascii="Times New Roman" w:hAnsi="Times New Roman" w:cs="Times New Roman"/>
          <w:bCs/>
          <w:i/>
          <w:iCs/>
          <w:sz w:val="24"/>
          <w:szCs w:val="24"/>
        </w:rPr>
        <w:t xml:space="preserve">În mod similar, când se completează </w:t>
      </w:r>
      <w:r w:rsidRPr="002816D1">
        <w:rPr>
          <w:rFonts w:ascii="Times New Roman" w:hAnsi="Times New Roman" w:cs="Times New Roman"/>
          <w:bCs/>
          <w:i/>
          <w:iCs/>
          <w:color w:val="0070C0"/>
          <w:sz w:val="24"/>
          <w:szCs w:val="24"/>
        </w:rPr>
        <w:t>Fișa de prezentare a proiectului</w:t>
      </w:r>
      <w:r>
        <w:rPr>
          <w:rFonts w:ascii="Times New Roman" w:hAnsi="Times New Roman" w:cs="Times New Roman"/>
          <w:bCs/>
          <w:i/>
          <w:iCs/>
          <w:sz w:val="24"/>
          <w:szCs w:val="24"/>
        </w:rPr>
        <w:t xml:space="preserve"> (Anexa 2 la Procedura de avizare)</w:t>
      </w:r>
      <w:r w:rsidRPr="00DA75BF">
        <w:rPr>
          <w:rFonts w:ascii="Times New Roman" w:hAnsi="Times New Roman" w:cs="Times New Roman"/>
          <w:bCs/>
          <w:i/>
          <w:iCs/>
          <w:sz w:val="24"/>
          <w:szCs w:val="24"/>
        </w:rPr>
        <w:t xml:space="preserve">, la </w:t>
      </w:r>
      <w:r>
        <w:rPr>
          <w:rFonts w:ascii="Times New Roman" w:hAnsi="Times New Roman" w:cs="Times New Roman"/>
          <w:bCs/>
          <w:i/>
          <w:iCs/>
          <w:sz w:val="24"/>
          <w:szCs w:val="24"/>
        </w:rPr>
        <w:t>c</w:t>
      </w:r>
      <w:r w:rsidRPr="00DA75BF">
        <w:rPr>
          <w:rFonts w:ascii="Times New Roman" w:hAnsi="Times New Roman" w:cs="Times New Roman"/>
          <w:bCs/>
          <w:i/>
          <w:iCs/>
          <w:sz w:val="24"/>
          <w:szCs w:val="24"/>
        </w:rPr>
        <w:t xml:space="preserve">apitolul Relevanță, </w:t>
      </w:r>
      <w:r>
        <w:rPr>
          <w:rFonts w:ascii="Times New Roman" w:hAnsi="Times New Roman" w:cs="Times New Roman"/>
          <w:bCs/>
          <w:i/>
          <w:iCs/>
          <w:sz w:val="24"/>
          <w:szCs w:val="24"/>
        </w:rPr>
        <w:t xml:space="preserve">se va face referire la </w:t>
      </w:r>
      <w:r w:rsidRPr="002816D1">
        <w:rPr>
          <w:rFonts w:ascii="Times New Roman" w:hAnsi="Times New Roman" w:cs="Times New Roman"/>
          <w:b/>
          <w:bCs/>
          <w:i/>
          <w:iCs/>
          <w:sz w:val="24"/>
          <w:szCs w:val="24"/>
        </w:rPr>
        <w:t>Strategia Integrată de Dezvoltare Durabilă a Deltei Dunării</w:t>
      </w:r>
      <w:r w:rsidR="00CF36B4">
        <w:rPr>
          <w:rFonts w:ascii="Times New Roman" w:hAnsi="Times New Roman" w:cs="Times New Roman"/>
          <w:b/>
          <w:bCs/>
          <w:iCs/>
          <w:sz w:val="24"/>
          <w:szCs w:val="24"/>
        </w:rPr>
        <w:t xml:space="preserve">, </w:t>
      </w:r>
      <w:r w:rsidR="00CF36B4" w:rsidRPr="00CF36B4">
        <w:rPr>
          <w:rFonts w:ascii="Times New Roman" w:hAnsi="Times New Roman" w:cs="Times New Roman"/>
          <w:bCs/>
          <w:iCs/>
          <w:sz w:val="24"/>
          <w:szCs w:val="24"/>
        </w:rPr>
        <w:t xml:space="preserve">în funcție de tipul </w:t>
      </w:r>
      <w:r w:rsidR="00CF36B4">
        <w:rPr>
          <w:rFonts w:ascii="Times New Roman" w:hAnsi="Times New Roman" w:cs="Times New Roman"/>
          <w:bCs/>
          <w:iCs/>
          <w:sz w:val="24"/>
          <w:szCs w:val="24"/>
        </w:rPr>
        <w:t>și obiectivele (general și specific) ale proiectului, după cum urmează:</w:t>
      </w:r>
    </w:p>
    <w:p w:rsidR="002816D1" w:rsidRPr="002816D1" w:rsidRDefault="002816D1" w:rsidP="002816D1">
      <w:pPr>
        <w:jc w:val="both"/>
        <w:rPr>
          <w:rFonts w:ascii="Times New Roman" w:hAnsi="Times New Roman" w:cs="Times New Roman"/>
          <w:bCs/>
          <w:i/>
          <w:iCs/>
          <w:sz w:val="24"/>
          <w:szCs w:val="24"/>
        </w:rPr>
      </w:pPr>
    </w:p>
    <w:p w:rsidR="00AC1066" w:rsidRPr="006A7F96" w:rsidRDefault="00AC1066" w:rsidP="00AC1066">
      <w:pPr>
        <w:pStyle w:val="DDSection"/>
        <w:suppressAutoHyphens w:val="0"/>
        <w:rPr>
          <w:lang w:val="ro-RO"/>
        </w:rPr>
      </w:pPr>
      <w:r w:rsidRPr="006A7F96">
        <w:rPr>
          <w:lang w:val="ro-RO"/>
        </w:rPr>
        <w:t>Pilonul II: Îmbunătățirea economiei</w:t>
      </w:r>
      <w:bookmarkEnd w:id="1"/>
      <w:bookmarkEnd w:id="2"/>
      <w:bookmarkEnd w:id="3"/>
      <w:r w:rsidRPr="006A7F96">
        <w:rPr>
          <w:lang w:val="ro-RO"/>
        </w:rPr>
        <w:t xml:space="preserve"> </w:t>
      </w:r>
    </w:p>
    <w:p w:rsidR="00D44847" w:rsidRDefault="00D44847" w:rsidP="00DA75BF">
      <w:pPr>
        <w:jc w:val="center"/>
        <w:rPr>
          <w:rFonts w:ascii="Times New Roman" w:hAnsi="Times New Roman" w:cs="Times New Roman"/>
          <w:b/>
          <w:bCs/>
          <w:i/>
          <w:iCs/>
          <w:sz w:val="24"/>
          <w:szCs w:val="24"/>
        </w:rPr>
      </w:pPr>
    </w:p>
    <w:p w:rsidR="00AC1066" w:rsidRPr="006A7F96" w:rsidRDefault="00AC1066" w:rsidP="00AC1066">
      <w:pPr>
        <w:pStyle w:val="DDsubSect"/>
        <w:rPr>
          <w:lang w:val="ro-RO"/>
        </w:rPr>
      </w:pPr>
      <w:r w:rsidRPr="006A7F96">
        <w:rPr>
          <w:lang w:val="ro-RO"/>
        </w:rPr>
        <w:t xml:space="preserve">Agricultură și dezvoltare rurală </w:t>
      </w:r>
    </w:p>
    <w:p w:rsidR="00AC1066" w:rsidRPr="006A7F96" w:rsidRDefault="00AC1066" w:rsidP="002816D1">
      <w:pPr>
        <w:jc w:val="both"/>
      </w:pPr>
      <w:r w:rsidRPr="006A7F96">
        <w:t>La nivelul teritoriului ITI Delta Dunării existau, conform Recensământului General Agricol din 2010, un număr de aproape 30.000 de exploatații agricole, dintre care doar 1,2% au personalitate juridică, acestea reunind totuși circa 69% din totalul suprafețelor agricole (cu o suprafață medie de 453 ha)</w:t>
      </w:r>
      <w:r w:rsidRPr="006A7F96">
        <w:rPr>
          <w:rStyle w:val="FootnoteReference"/>
        </w:rPr>
        <w:footnoteReference w:id="1"/>
      </w:r>
      <w:r w:rsidRPr="006A7F96">
        <w:t xml:space="preserve">. Restul de exploatații sunt de tip individual și au o suprafață medie de 2,4 ha, sunt lipsite de mijloace de producție mecanizate, ceea ce nu permite practicarea unei agriculturi moderne, ci doar asigurarea consumului propriu al gospodăriilor. </w:t>
      </w:r>
    </w:p>
    <w:p w:rsidR="00AC1066" w:rsidRPr="006A7F96" w:rsidRDefault="00AC1066" w:rsidP="002816D1">
      <w:pPr>
        <w:jc w:val="both"/>
      </w:pPr>
      <w:r w:rsidRPr="006A7F96">
        <w:t>Zona studiată beneficiază de o suprafață acoperită de stuf de peste 250.000 ha, una dintre cele mai extinse din lume. Din aceasta, doar circa 10-20% este exploatată în scop economic, cea mai mare parte fiind exportată către țările din Europa de Vest și din bazinul Mării Mediterane, pentru realizarea de rogojini și de acoperișuri. Cantitatea de stuf exploatată în prezent este cea mai redusă din ultimele 6 decenii (circa 5.000 tone/an, recoltată din 7 stufării concesionate, din totalul celor 12 existente)</w:t>
      </w:r>
      <w:r w:rsidRPr="006A7F96">
        <w:rPr>
          <w:rStyle w:val="FootnoteReference"/>
        </w:rPr>
        <w:footnoteReference w:id="2"/>
      </w:r>
      <w:r w:rsidRPr="006A7F96">
        <w:t>, în pofida faptului că este una dintre ocupațiile tradiționale ale locuitorilor Deltei, cauzele fiind legate de multiplele calamități (inundații, secetă) care afectează zonele stuficole, de dispariția industriei autohtone de prelucrare, precum și de declinul ocupațiilor tradiționale.</w:t>
      </w:r>
    </w:p>
    <w:p w:rsidR="00AC1066" w:rsidRPr="006A7F96" w:rsidRDefault="00AC1066" w:rsidP="002816D1">
      <w:pPr>
        <w:jc w:val="both"/>
      </w:pPr>
      <w:r w:rsidRPr="006A7F96">
        <w:t xml:space="preserve">În altă ordine de idei, doar 5% din suprafața agricolă utilizată dispune de amenajări pentru irigații funcționale, deși zona Deltei este cea mai săracă în precipitații din România (sub 400 mm/an), iar perioadele îndelungate de secetă afectează negativ productivitatea agricolă. </w:t>
      </w:r>
    </w:p>
    <w:p w:rsidR="00AC1066" w:rsidRPr="006A7F96" w:rsidRDefault="00AC1066" w:rsidP="002816D1">
      <w:pPr>
        <w:jc w:val="both"/>
      </w:pPr>
      <w:r w:rsidRPr="006A7F96">
        <w:t xml:space="preserve">În ceea ce privește efectivele de animale, acestea sunt însemnate și în creștere cu referire la ovine și caprine (aproape 300.000 de capete) și în scădere în ceea ce privește bovinele, porcinele și păsările. Exceptând </w:t>
      </w:r>
      <w:r w:rsidRPr="006A7F96">
        <w:lastRenderedPageBreak/>
        <w:t>existența unor ferme industriale de ovine și porcine, circa 90% dintre efectivele de animale se regăsesc în gospodăriile populației și asigură consumul propriu al acestora</w:t>
      </w:r>
      <w:r w:rsidRPr="006A7F96">
        <w:rPr>
          <w:rStyle w:val="FootnoteReference"/>
        </w:rPr>
        <w:footnoteReference w:id="3"/>
      </w:r>
      <w:r w:rsidRPr="006A7F96">
        <w:t xml:space="preserve">. </w:t>
      </w:r>
    </w:p>
    <w:p w:rsidR="00AC1066" w:rsidRPr="006A7F96" w:rsidRDefault="00AC1066" w:rsidP="002816D1">
      <w:pPr>
        <w:jc w:val="both"/>
      </w:pPr>
      <w:r w:rsidRPr="006A7F96">
        <w:t xml:space="preserve">Acordarea de subvenții pentru creșterea animalelor în centrul Deltei poate duce la creșterea necontrolată a efectivelor, iar în condițiile neutilizării produselor derivate în economia locală poate genera un impact negativ asupra mediului. </w:t>
      </w:r>
    </w:p>
    <w:p w:rsidR="00AC1066" w:rsidRPr="006A7F96" w:rsidRDefault="00AC1066" w:rsidP="002816D1">
      <w:pPr>
        <w:jc w:val="both"/>
      </w:pPr>
      <w:r w:rsidRPr="006A7F96">
        <w:t>Conform datelor Institutului Național de Statistică, 36% din populația activă a zonei Deltei Dunării este ocupată în agricultură, silvicultură și pescuit, procentul ajungând la circa 70% în mediul rural</w:t>
      </w:r>
      <w:r w:rsidRPr="006A7F96">
        <w:rPr>
          <w:rStyle w:val="FootnoteReference"/>
        </w:rPr>
        <w:footnoteReference w:id="4"/>
      </w:r>
      <w:r w:rsidRPr="006A7F96">
        <w:t>. Deși aceste activități reprezintă ocupații tradiționale pentru zona Deltei, ponderea lor foarte ridicată în structura ocupării la nivelul teritoriului ITI indică, în fapt, un fenomen de ocupare informală (sub-ocupare), generat, pe de o parte, de practicarea pe scară largă a agriculturii de subzistență, cu mijloace rudimentare, pentru consumul propriu, iar, pe de altă parte, de slaba dezvoltare a sectorului secundar (industrial) și terțiar (de servicii).  Este necesară dezvoltarea unui brand pentru produsele locale ce va contribui la creșterea valorii adăugate a acestora, prin încurajarea și susținerea procesării produselor agricole.</w:t>
      </w:r>
    </w:p>
    <w:p w:rsidR="00AC1066" w:rsidRPr="006A7F96" w:rsidRDefault="00AC1066" w:rsidP="002816D1">
      <w:pPr>
        <w:pStyle w:val="DDNormal"/>
        <w:rPr>
          <w:lang w:val="ro-RO"/>
        </w:rPr>
      </w:pPr>
      <w:r w:rsidRPr="006A7F96">
        <w:rPr>
          <w:lang w:val="ro-RO"/>
        </w:rPr>
        <w:t>Rata antreprenoriatului în mediul rural este foarte scăzută (circa 15 firme/1.000 de locuitori) în comparație cu media județeană, regională și națională (30/1.000). În comunele din teritoriul ITI Delta Dunării funcționează circa 2.000 de agenți economici, dintre care 90% sunt microîntreprinderi, adesea cu 1-2 salariați (afaceri de familie) și concentrate în activități cu valoare adăugată redusă (mai ales comerț cu amănuntul)</w:t>
      </w:r>
      <w:r w:rsidRPr="006A7F96">
        <w:rPr>
          <w:rStyle w:val="FootnoteReference"/>
          <w:lang w:val="ro-RO"/>
        </w:rPr>
        <w:footnoteReference w:id="5"/>
      </w:r>
      <w:r w:rsidRPr="006A7F96">
        <w:rPr>
          <w:lang w:val="ro-RO"/>
        </w:rPr>
        <w:t xml:space="preserve">. </w:t>
      </w:r>
    </w:p>
    <w:p w:rsidR="00AC1066" w:rsidRPr="006A7F96" w:rsidRDefault="00AC1066" w:rsidP="002816D1">
      <w:pPr>
        <w:pStyle w:val="DDNormal"/>
        <w:rPr>
          <w:rFonts w:cs="Calibri"/>
          <w:lang w:val="ro-RO"/>
        </w:rPr>
      </w:pPr>
      <w:r w:rsidRPr="006A7F96">
        <w:rPr>
          <w:rFonts w:cs="Arial"/>
          <w:bCs/>
          <w:lang w:val="ro-RO"/>
        </w:rPr>
        <w:t>Numărul persoanelor care mai practică activitățile tradiționale (de ex. obiecte realizate din papură sau din stuf) este foarte mic, aceste ocupații fiind pe cale de dispariție, cu impact negativ atât asupra ocupării, a patrimoniului cultural imaterial local și a potențialului pentru diversificarea formelor de turism în zonă. De asemenea, numărul persoanelor care mai practică pescuitul în mod tradițional a scăzut dramatic, pe fondul modificării legislației în domeniu, dar și a migrației masive a tinerilor, care se reorientează preponderent către studii teoretice și locurile de muncă din marile orașe sau din alte țări.</w:t>
      </w:r>
    </w:p>
    <w:p w:rsidR="00AC1066" w:rsidRPr="006A7F96" w:rsidRDefault="00AC1066" w:rsidP="002816D1">
      <w:pPr>
        <w:pStyle w:val="DDNormal"/>
        <w:rPr>
          <w:rFonts w:cs="Calibri"/>
          <w:lang w:val="ro-RO"/>
        </w:rPr>
      </w:pPr>
      <w:r w:rsidRPr="006A7F96">
        <w:rPr>
          <w:rFonts w:cs="Calibri"/>
          <w:lang w:val="ro-RO"/>
        </w:rPr>
        <w:t>Pe lângă dotarea de slabă calitate a exploatațiilor și fragmentarea bazei de aprovizionare, slaba  dezvoltare a unităților de procesare a produselor agro-alimentare este un alt factor negativ, prezent în Zona de Studiu. Cu doar câteva mici unități de prelucrare a alimentelor și cu cea mai mare parte a producției agricole folosită pentru consum propriu sau vândută direct pe piață, zona are o mare nevoie atât de modernizare, cât și de crearea de noi unități de colectare, prelucrare și comercializare a produselor agricole.</w:t>
      </w:r>
    </w:p>
    <w:p w:rsidR="00AC1066" w:rsidRDefault="00AC1066" w:rsidP="002816D1">
      <w:pPr>
        <w:pStyle w:val="DDNormal"/>
        <w:rPr>
          <w:rFonts w:cs="Calibri"/>
          <w:lang w:val="ro-RO"/>
        </w:rPr>
      </w:pPr>
      <w:r w:rsidRPr="006A7F96">
        <w:rPr>
          <w:rFonts w:cs="Calibri"/>
          <w:lang w:val="ro-RO"/>
        </w:rPr>
        <w:t>Una dintre principalele cauze ale problemelor complexe cu care se confruntă agricultura locală este lipsa unor structuri asociative consolidate ale fermierilor, care să compenseze lipsa de resurse financiare, logistice și tehnice, a mijloacelor de comercializare și marketing,  precum și puterea redusă de negociere cu marile lanțuri comerciale. La nivelul zonei studiate funcționează în prezent doar 5 grupuri de producători autorizate în domeniul cerealelor, plantelor oleaginoase, legumelor și produselor apicole. În altă ordine de idei, nicio structură de tip cluster nu a fost dezvoltată în sectorul agro-alimentar, deși atât agricultura, cât și industria alimentară asigură peste 50% din locurile de muncă din zonă</w:t>
      </w:r>
      <w:r w:rsidR="002816D1">
        <w:rPr>
          <w:rFonts w:cs="Calibri"/>
          <w:lang w:val="ro-RO"/>
        </w:rPr>
        <w:t>.</w:t>
      </w:r>
    </w:p>
    <w:p w:rsidR="002816D1" w:rsidRDefault="002816D1" w:rsidP="002816D1">
      <w:pPr>
        <w:pStyle w:val="DDNormal"/>
        <w:rPr>
          <w:rFonts w:cs="Calibri"/>
          <w:lang w:val="ro-RO"/>
        </w:rPr>
      </w:pPr>
    </w:p>
    <w:p w:rsidR="002816D1" w:rsidRDefault="002816D1" w:rsidP="002816D1">
      <w:pPr>
        <w:pStyle w:val="DDNormal"/>
        <w:rPr>
          <w:rFonts w:cs="Calibri"/>
          <w:lang w:val="ro-RO"/>
        </w:rPr>
      </w:pPr>
    </w:p>
    <w:p w:rsidR="002816D1" w:rsidRDefault="002816D1" w:rsidP="002816D1">
      <w:pPr>
        <w:pStyle w:val="DDNormal"/>
        <w:rPr>
          <w:rFonts w:cs="Calibri"/>
          <w:lang w:val="ro-RO"/>
        </w:rPr>
      </w:pPr>
    </w:p>
    <w:p w:rsidR="002816D1" w:rsidRDefault="002816D1" w:rsidP="002816D1">
      <w:pPr>
        <w:pStyle w:val="DDNormal"/>
        <w:rPr>
          <w:rFonts w:cs="Calibri"/>
          <w:lang w:val="ro-RO"/>
        </w:rPr>
      </w:pPr>
    </w:p>
    <w:p w:rsidR="002816D1" w:rsidRDefault="002816D1" w:rsidP="002816D1">
      <w:pPr>
        <w:pStyle w:val="DDNormal"/>
        <w:rPr>
          <w:rFonts w:cs="Calibri"/>
          <w:lang w:val="ro-RO"/>
        </w:rPr>
      </w:pPr>
    </w:p>
    <w:p w:rsidR="002816D1" w:rsidRPr="006A7F96" w:rsidRDefault="002816D1" w:rsidP="002816D1">
      <w:pPr>
        <w:pStyle w:val="DDNormal"/>
        <w:rPr>
          <w:rFonts w:cs="Calibri"/>
          <w:lang w:val="ro-RO"/>
        </w:rPr>
      </w:pPr>
    </w:p>
    <w:p w:rsidR="00AC1066" w:rsidRPr="006A7F96" w:rsidRDefault="00AC1066" w:rsidP="00AC1066">
      <w:pPr>
        <w:pStyle w:val="DDCaption"/>
        <w:jc w:val="center"/>
        <w:rPr>
          <w:rFonts w:cs="Calibri"/>
          <w:lang w:val="ro-RO"/>
        </w:rPr>
      </w:pPr>
      <w:bookmarkStart w:id="4" w:name="_Toc430333915"/>
      <w:r w:rsidRPr="006A7F96">
        <w:rPr>
          <w:lang w:val="ro-RO"/>
        </w:rPr>
        <w:t>Figura 27:  Indicele Dezvoltării Teritoriale, 2011</w:t>
      </w:r>
      <w:bookmarkEnd w:id="4"/>
    </w:p>
    <w:p w:rsidR="00AC1066" w:rsidRPr="006A7F96" w:rsidRDefault="00AC1066" w:rsidP="00AC1066">
      <w:pPr>
        <w:pStyle w:val="DDNormal"/>
        <w:rPr>
          <w:rFonts w:cs="Calibri"/>
          <w:lang w:val="ro-RO"/>
        </w:rPr>
      </w:pPr>
      <w:r w:rsidRPr="006A7F96">
        <w:rPr>
          <w:noProof/>
          <w:lang w:eastAsia="en-US"/>
        </w:rPr>
        <mc:AlternateContent>
          <mc:Choice Requires="wps">
            <w:drawing>
              <wp:anchor distT="0" distB="0" distL="114300" distR="114300" simplePos="0" relativeHeight="251659264" behindDoc="0" locked="0" layoutInCell="1" allowOverlap="1" wp14:anchorId="65C9D7AD" wp14:editId="0B63E835">
                <wp:simplePos x="0" y="0"/>
                <wp:positionH relativeFrom="column">
                  <wp:posOffset>4124325</wp:posOffset>
                </wp:positionH>
                <wp:positionV relativeFrom="paragraph">
                  <wp:posOffset>97790</wp:posOffset>
                </wp:positionV>
                <wp:extent cx="1438275" cy="365125"/>
                <wp:effectExtent l="0" t="0" r="0" b="0"/>
                <wp:wrapNone/>
                <wp:docPr id="144" name="Text Box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36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1066" w:rsidRPr="00F10341" w:rsidRDefault="00AC1066" w:rsidP="00AC1066">
                            <w:pPr>
                              <w:jc w:val="center"/>
                              <w:rPr>
                                <w:b/>
                                <w:bCs/>
                                <w:sz w:val="16"/>
                                <w:szCs w:val="16"/>
                              </w:rPr>
                            </w:pPr>
                            <w:r w:rsidRPr="00F10341">
                              <w:rPr>
                                <w:b/>
                                <w:bCs/>
                                <w:sz w:val="16"/>
                                <w:szCs w:val="16"/>
                              </w:rPr>
                              <w:t>Indicele Dezvoltării Teritoriale pentru 2011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C9D7AD" id="_x0000_t202" coordsize="21600,21600" o:spt="202" path="m,l,21600r21600,l21600,xe">
                <v:stroke joinstyle="miter"/>
                <v:path gradientshapeok="t" o:connecttype="rect"/>
              </v:shapetype>
              <v:shape id="Text Box 985" o:spid="_x0000_s1026" type="#_x0000_t202" style="position:absolute;left:0;text-align:left;margin-left:324.75pt;margin-top:7.7pt;width:113.25pt;height:2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" stroked="f">
                <v:textbox>
                  <w:txbxContent>
                    <w:p w:rsidR="00AC1066" w:rsidRPr="00F10341" w:rsidRDefault="00AC1066" w:rsidP="00AC1066">
                      <w:pPr>
                        <w:jc w:val="center"/>
                        <w:rPr>
                          <w:b/>
                          <w:bCs/>
                          <w:sz w:val="16"/>
                          <w:szCs w:val="16"/>
                        </w:rPr>
                      </w:pPr>
                      <w:r w:rsidRPr="00F10341">
                        <w:rPr>
                          <w:b/>
                          <w:bCs/>
                          <w:sz w:val="16"/>
                          <w:szCs w:val="16"/>
                        </w:rPr>
                        <w:t>Indicele Dezvoltării Teritoriale pentru 2011</w:t>
                      </w:r>
                    </w:p>
                  </w:txbxContent>
                </v:textbox>
              </v:shape>
            </w:pict>
          </mc:Fallback>
        </mc:AlternateContent>
      </w:r>
      <w:r w:rsidRPr="006A7F96">
        <w:rPr>
          <w:noProof/>
          <w:lang w:eastAsia="en-US"/>
        </w:rPr>
        <w:drawing>
          <wp:inline distT="0" distB="0" distL="0" distR="0" wp14:anchorId="12D0035C" wp14:editId="511DAC8C">
            <wp:extent cx="5723636" cy="3171825"/>
            <wp:effectExtent l="0" t="0" r="0" b="0"/>
            <wp:docPr id="30" name="Picture 20" descr="Description: IDT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IDT 2011"/>
                    <pic:cNvPicPr>
                      <a:picLocks noChangeAspect="1" noChangeArrowheads="1"/>
                    </pic:cNvPicPr>
                  </pic:nvPicPr>
                  <pic:blipFill>
                    <a:blip r:embed="rId7" cstate="print"/>
                    <a:srcRect/>
                    <a:stretch>
                      <a:fillRect/>
                    </a:stretch>
                  </pic:blipFill>
                  <pic:spPr bwMode="auto">
                    <a:xfrm>
                      <a:off x="0" y="0"/>
                      <a:ext cx="5730875" cy="3175836"/>
                    </a:xfrm>
                    <a:prstGeom prst="rect">
                      <a:avLst/>
                    </a:prstGeom>
                    <a:noFill/>
                    <a:ln w="9525">
                      <a:noFill/>
                      <a:miter lim="800000"/>
                      <a:headEnd/>
                      <a:tailEnd/>
                    </a:ln>
                  </pic:spPr>
                </pic:pic>
              </a:graphicData>
            </a:graphic>
          </wp:inline>
        </w:drawing>
      </w:r>
    </w:p>
    <w:p w:rsidR="00AC1066" w:rsidRPr="006A7F96" w:rsidRDefault="00AC1066" w:rsidP="00AC1066"/>
    <w:p w:rsidR="00CF36B4" w:rsidRDefault="00AC1066" w:rsidP="00CF36B4">
      <w:r w:rsidRPr="006A7F96">
        <w:t>Starea proastă a infrastructurii fizice rurale este un alt factor care împiedică dezvoltarea zonei și care menține decalajul rural-urban. Modernizarea și extinderea infrastructurii legate de alimentarea cu apă, canalizare și drumuri locale sunt, prin urmare, esențiale pentru îmbunătățirea condițiilor de trai ale comunităților rurale. În plus, o infrastructură adecvată este o condiție prealabilă pentru atragerea investițiilor și pentru creșterea atractivității zonei.</w:t>
      </w:r>
    </w:p>
    <w:p w:rsidR="00AC1066" w:rsidRPr="006A7F96" w:rsidRDefault="00AC1066" w:rsidP="00AC1066">
      <w:pPr>
        <w:pStyle w:val="DDSection"/>
        <w:suppressAutoHyphens w:val="0"/>
        <w:rPr>
          <w:lang w:val="ro-RO"/>
        </w:rPr>
      </w:pPr>
      <w:r w:rsidRPr="006A7F96">
        <w:rPr>
          <w:lang w:val="ro-RO"/>
        </w:rPr>
        <w:t xml:space="preserve">Pilonul IV: Asigurarea serviciilor publice </w:t>
      </w:r>
    </w:p>
    <w:p w:rsidR="00AC1066" w:rsidRPr="006A7F96" w:rsidRDefault="00AC1066" w:rsidP="00AC1066">
      <w:pPr>
        <w:pStyle w:val="DDsubSect"/>
        <w:rPr>
          <w:lang w:val="ro-RO"/>
        </w:rPr>
      </w:pPr>
      <w:r w:rsidRPr="006A7F96">
        <w:rPr>
          <w:lang w:val="ro-RO"/>
        </w:rPr>
        <w:t>Alimentare cu apă și sisteme de canalizare și managementul integrat al apei</w:t>
      </w:r>
    </w:p>
    <w:p w:rsidR="00AC1066" w:rsidRPr="006A7F96" w:rsidRDefault="00AC1066" w:rsidP="00AC1066">
      <w:pPr>
        <w:rPr>
          <w:rFonts w:cs="Arial"/>
          <w:bCs/>
        </w:rPr>
      </w:pPr>
      <w:r w:rsidRPr="006A7F96">
        <w:rPr>
          <w:rFonts w:cs="Arial"/>
          <w:bCs/>
        </w:rPr>
        <w:t xml:space="preserve">Conform rezultatelor definitive ale Recensământului General al Populației și Locuințelor din anul 2011, doar 59% dintre locuințele din județ dispuneau de alimentare cu apă, iar 53% de canalizare, cu 10-15 puncte procentuale sub media regională (63% / 61%) și națională (67% / 65%). Dacă în mediul urban peste 80% dintre locuințe sunt conectate la rețeaua de apă și canalizare, inclusiv ca urmare a investițiilor masive realizate prin POS MEDIU 2007-2013, în mediul rural acest procent nu depășește 35%, cele mai multe comune nedispunând de sisteme centralizate. Această stare de fapt are consecințe grave asupra calității mediului și a stării de sănătate a populației. </w:t>
      </w:r>
    </w:p>
    <w:p w:rsidR="00AC1066" w:rsidRPr="006A7F96" w:rsidRDefault="00AC1066" w:rsidP="00AC1066">
      <w:pPr>
        <w:rPr>
          <w:rFonts w:cs="Arial"/>
          <w:bCs/>
        </w:rPr>
      </w:pPr>
      <w:bookmarkStart w:id="5" w:name="_Toc430333924"/>
      <w:r w:rsidRPr="006A7F96">
        <w:rPr>
          <w:rFonts w:cs="Arial"/>
          <w:bCs/>
        </w:rPr>
        <w:t xml:space="preserve">În cea mai recentă anchetă realizată la cererea Băncii Mondiale în anul 2014, rata de conectare la sisteme de alimentare cu apă a ajuns la 95% din totalul populației, cele mai importante probleme fiind raportate în comunele C.A. Rosetti și Ceatalchioi. Canalizarea este asigurată în mare parte în sate pe baza unor scheme individuale, iar conectarea la sisteme centralizate nu are relevanță în multe cazuri, din cauza densității reduse a populației. </w:t>
      </w:r>
    </w:p>
    <w:p w:rsidR="00AC1066" w:rsidRPr="006A7F96" w:rsidRDefault="00AC1066" w:rsidP="00AC1066">
      <w:pPr>
        <w:rPr>
          <w:rFonts w:cs="Arial"/>
          <w:bCs/>
        </w:rPr>
      </w:pPr>
      <w:r w:rsidRPr="006A7F96">
        <w:rPr>
          <w:rFonts w:cs="Arial"/>
          <w:bCs/>
        </w:rPr>
        <w:lastRenderedPageBreak/>
        <w:t xml:space="preserve">Delta Dunării este zona cea mai deficitară din punct de vedere al accesului la apă potabilă. Apa freatică poate fi găsită la adâncimi de 2-5 m, dar din cauza naturii sedimentare a solului din Delta Dunării, apa este bogată în numeroase substanțe generate de descompunerea sedimentelor, precum sulfurile din zona Ceatalchioi, spre exemplu. În acest context, localnicii din zonele lipsite de fântâni cu apă de calitate au obiceiul de a consuma apă netratată direct din Dunăre, după fierberea prealabilă a acesteia. Această situație se înregistrează în cazul a 17% dintre locuitorii zonelor lipsite de apă curentă. În zonele lipsite de alimentare cu apă în sistem centralizat, școlile și primăriile au propriile puțuri de mare adâncime, cu o calitate variabilă a apei. </w:t>
      </w:r>
    </w:p>
    <w:p w:rsidR="00AC1066" w:rsidRPr="006A7F96" w:rsidRDefault="00AC1066" w:rsidP="00AC1066">
      <w:pPr>
        <w:rPr>
          <w:rFonts w:cs="Arial"/>
          <w:bCs/>
        </w:rPr>
      </w:pPr>
      <w:r w:rsidRPr="006A7F96">
        <w:rPr>
          <w:rFonts w:cs="Arial"/>
          <w:bCs/>
        </w:rPr>
        <w:t xml:space="preserve">În altă ordine de idei, deversarea apelor uzate netratate sau insuficient epurate din localitățile rurale în Dunăre și alte cursuri de apă adiacente acesteia, precum și infiltrațiile din rețelele de canalizare învechite, existente la nivelul orașelor, reprezintă o amenințare la adresa calității apei fluviului și a biodiversității din zonă. În plus, municipiul Tulcea nu a beneficiat până recent de o stație de epurare, apele uzate fiind deversate direct în fluviu, dar investițiile trebuie continuate pentru ca toate apele uzate să ajungă într-un singur colector principal, care să le transporte la stația de epurare. La nivelul anului 2015, stația de epurare a municipiului funcționează la 45% din capacitatea proiectată, restul volumelor fiind deversate direct în Dunăre. </w:t>
      </w:r>
    </w:p>
    <w:p w:rsidR="00AC1066" w:rsidRPr="006A7F96" w:rsidRDefault="00AC1066" w:rsidP="00AC1066">
      <w:pPr>
        <w:rPr>
          <w:rFonts w:cs="Arial"/>
          <w:bCs/>
        </w:rPr>
      </w:pPr>
      <w:r w:rsidRPr="006A7F96">
        <w:rPr>
          <w:rFonts w:cs="Arial"/>
          <w:bCs/>
        </w:rPr>
        <w:t>Chiar și în localitățile care dispun de rețea centralizată de alimentare cu apă și canalizare, preponderent urbane, se înregistrează probleme legate de vechimea conductelor, care conduce la pierderi în rețea, infiltrații în sol, întreruperi frecvente ale furnizării, presiune scăzută etc., la care se adaugă existența unor zone rezidențiale care nu dispun de rețele de utilități și unde proprietarii au improvizat soluții temporare pe cont propriu.</w:t>
      </w:r>
    </w:p>
    <w:p w:rsidR="00AC1066" w:rsidRPr="006A7F96" w:rsidRDefault="00AC1066" w:rsidP="00AC1066">
      <w:pPr>
        <w:pStyle w:val="DDCaption"/>
        <w:jc w:val="center"/>
        <w:rPr>
          <w:rFonts w:cs="Arial"/>
          <w:bCs/>
          <w:lang w:val="ro-RO"/>
        </w:rPr>
      </w:pPr>
      <w:r w:rsidRPr="006A7F96">
        <w:rPr>
          <w:lang w:val="ro-RO"/>
        </w:rPr>
        <w:t>Figura 32:  Alimentare cu apă: localități cu mai puțin de 50 de locuitori</w:t>
      </w:r>
      <w:bookmarkEnd w:id="5"/>
    </w:p>
    <w:p w:rsidR="00AC1066" w:rsidRPr="006A7F96" w:rsidRDefault="00AC1066" w:rsidP="00AC1066">
      <w:pPr>
        <w:jc w:val="center"/>
      </w:pPr>
      <w:r w:rsidRPr="006A7F96">
        <w:rPr>
          <w:noProof/>
          <w:lang w:val="en-US"/>
        </w:rPr>
        <w:lastRenderedPageBreak/>
        <w:drawing>
          <wp:inline distT="0" distB="0" distL="0" distR="0" wp14:anchorId="18E02D8E" wp14:editId="6B4066B7">
            <wp:extent cx="3608985" cy="4724400"/>
            <wp:effectExtent l="0" t="0" r="0" b="0"/>
            <wp:docPr id="35" name="Picture 32" descr="Description: apa 50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cription: apa 50 ro"/>
                    <pic:cNvPicPr>
                      <a:picLocks noChangeAspect="1" noChangeArrowheads="1"/>
                    </pic:cNvPicPr>
                  </pic:nvPicPr>
                  <pic:blipFill>
                    <a:blip r:embed="rId8" cstate="print"/>
                    <a:srcRect/>
                    <a:stretch>
                      <a:fillRect/>
                    </a:stretch>
                  </pic:blipFill>
                  <pic:spPr bwMode="auto">
                    <a:xfrm>
                      <a:off x="0" y="0"/>
                      <a:ext cx="3613906" cy="4730842"/>
                    </a:xfrm>
                    <a:prstGeom prst="rect">
                      <a:avLst/>
                    </a:prstGeom>
                    <a:noFill/>
                    <a:ln w="9525">
                      <a:noFill/>
                      <a:miter lim="800000"/>
                      <a:headEnd/>
                      <a:tailEnd/>
                    </a:ln>
                  </pic:spPr>
                </pic:pic>
              </a:graphicData>
            </a:graphic>
          </wp:inline>
        </w:drawing>
      </w:r>
    </w:p>
    <w:p w:rsidR="00AC1066" w:rsidRPr="006A7F96" w:rsidRDefault="00AC1066" w:rsidP="00AC1066">
      <w:pPr>
        <w:pStyle w:val="Caption"/>
        <w:rPr>
          <w:i/>
          <w:iCs w:val="0"/>
          <w:sz w:val="18"/>
          <w:lang w:val="ro-RO"/>
        </w:rPr>
      </w:pPr>
      <w:r w:rsidRPr="006A7F96">
        <w:rPr>
          <w:rFonts w:cs="Arial"/>
          <w:bCs/>
          <w:i/>
          <w:iCs w:val="0"/>
          <w:sz w:val="18"/>
          <w:lang w:val="ro-RO"/>
        </w:rPr>
        <w:t>Sursa: Ghid de investiții pentru proiecte de ap</w:t>
      </w:r>
      <w:r w:rsidRPr="006A7F96">
        <w:rPr>
          <w:i/>
          <w:iCs w:val="0"/>
          <w:sz w:val="18"/>
          <w:lang w:val="ro-RO"/>
        </w:rPr>
        <w:t>ă</w:t>
      </w:r>
      <w:r w:rsidRPr="006A7F96">
        <w:rPr>
          <w:rFonts w:cs="Arial"/>
          <w:bCs/>
          <w:i/>
          <w:iCs w:val="0"/>
          <w:sz w:val="18"/>
          <w:lang w:val="ro-RO"/>
        </w:rPr>
        <w:t xml:space="preserve"> </w:t>
      </w:r>
      <w:r w:rsidRPr="006A7F96">
        <w:rPr>
          <w:i/>
          <w:iCs w:val="0"/>
          <w:sz w:val="18"/>
          <w:lang w:val="ro-RO"/>
        </w:rPr>
        <w:t>ș</w:t>
      </w:r>
      <w:r w:rsidRPr="006A7F96">
        <w:rPr>
          <w:rFonts w:cs="Arial"/>
          <w:bCs/>
          <w:i/>
          <w:iCs w:val="0"/>
          <w:sz w:val="18"/>
          <w:lang w:val="ro-RO"/>
        </w:rPr>
        <w:t>i de ap</w:t>
      </w:r>
      <w:r w:rsidRPr="006A7F96">
        <w:rPr>
          <w:i/>
          <w:iCs w:val="0"/>
          <w:sz w:val="18"/>
          <w:lang w:val="ro-RO"/>
        </w:rPr>
        <w:t>ă</w:t>
      </w:r>
      <w:r w:rsidRPr="006A7F96">
        <w:rPr>
          <w:rFonts w:cs="Arial"/>
          <w:bCs/>
          <w:i/>
          <w:iCs w:val="0"/>
          <w:sz w:val="18"/>
          <w:lang w:val="ro-RO"/>
        </w:rPr>
        <w:t xml:space="preserve"> uzat</w:t>
      </w:r>
      <w:r w:rsidRPr="006A7F96">
        <w:rPr>
          <w:i/>
          <w:iCs w:val="0"/>
          <w:sz w:val="18"/>
          <w:lang w:val="ro-RO"/>
        </w:rPr>
        <w:t>ă</w:t>
      </w:r>
      <w:r w:rsidRPr="006A7F96">
        <w:rPr>
          <w:rFonts w:cs="Arial"/>
          <w:bCs/>
          <w:i/>
          <w:iCs w:val="0"/>
          <w:sz w:val="18"/>
          <w:lang w:val="ro-RO"/>
        </w:rPr>
        <w:t>, Grupul Banca Mondială.</w:t>
      </w:r>
    </w:p>
    <w:p w:rsidR="00AC1066" w:rsidRPr="006A7F96" w:rsidRDefault="00AC1066" w:rsidP="00AC1066">
      <w:pPr>
        <w:pStyle w:val="Caption"/>
        <w:rPr>
          <w:lang w:val="ro-RO"/>
        </w:rPr>
      </w:pPr>
    </w:p>
    <w:p w:rsidR="00AC1066" w:rsidRPr="006A7F96" w:rsidRDefault="00AC1066" w:rsidP="00AC1066">
      <w:pPr>
        <w:pStyle w:val="DDCaption"/>
        <w:jc w:val="center"/>
        <w:rPr>
          <w:lang w:val="ro-RO"/>
        </w:rPr>
      </w:pPr>
      <w:bookmarkStart w:id="6" w:name="_Toc430333925"/>
      <w:r w:rsidRPr="006A7F96">
        <w:rPr>
          <w:lang w:val="ro-RO"/>
        </w:rPr>
        <w:t>Figura 33: Sisteme de alimentare cu apă</w:t>
      </w:r>
      <w:bookmarkEnd w:id="6"/>
    </w:p>
    <w:p w:rsidR="00AC1066" w:rsidRPr="006A7F96" w:rsidRDefault="00AC1066" w:rsidP="00AC1066">
      <w:r w:rsidRPr="006A7F96">
        <w:rPr>
          <w:noProof/>
          <w:lang w:val="en-US"/>
        </w:rPr>
        <w:lastRenderedPageBreak/>
        <w:drawing>
          <wp:inline distT="0" distB="0" distL="0" distR="0" wp14:anchorId="20B17B49" wp14:editId="53D35C49">
            <wp:extent cx="4869815" cy="6900545"/>
            <wp:effectExtent l="19050" t="0" r="6985" b="0"/>
            <wp:docPr id="36" name="Picture 33" descr="Description: apa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scription: apa ro"/>
                    <pic:cNvPicPr>
                      <a:picLocks noChangeAspect="1" noChangeArrowheads="1"/>
                    </pic:cNvPicPr>
                  </pic:nvPicPr>
                  <pic:blipFill>
                    <a:blip r:embed="rId9" cstate="print"/>
                    <a:srcRect/>
                    <a:stretch>
                      <a:fillRect/>
                    </a:stretch>
                  </pic:blipFill>
                  <pic:spPr bwMode="auto">
                    <a:xfrm>
                      <a:off x="0" y="0"/>
                      <a:ext cx="4869815" cy="6900545"/>
                    </a:xfrm>
                    <a:prstGeom prst="rect">
                      <a:avLst/>
                    </a:prstGeom>
                    <a:noFill/>
                    <a:ln w="9525">
                      <a:noFill/>
                      <a:miter lim="800000"/>
                      <a:headEnd/>
                      <a:tailEnd/>
                    </a:ln>
                  </pic:spPr>
                </pic:pic>
              </a:graphicData>
            </a:graphic>
          </wp:inline>
        </w:drawing>
      </w:r>
    </w:p>
    <w:p w:rsidR="00AC1066" w:rsidRPr="006A7F96" w:rsidRDefault="00AC1066" w:rsidP="00AC1066">
      <w:pPr>
        <w:rPr>
          <w:i/>
          <w:iCs/>
          <w:sz w:val="18"/>
          <w:szCs w:val="18"/>
        </w:rPr>
      </w:pPr>
      <w:r w:rsidRPr="006A7F96">
        <w:rPr>
          <w:rFonts w:cs="Arial"/>
          <w:bCs/>
          <w:i/>
          <w:iCs/>
          <w:sz w:val="18"/>
          <w:szCs w:val="18"/>
        </w:rPr>
        <w:t xml:space="preserve">Sursa: </w:t>
      </w:r>
      <w:r w:rsidRPr="006A7F96">
        <w:rPr>
          <w:i/>
          <w:iCs/>
          <w:sz w:val="18"/>
          <w:szCs w:val="18"/>
        </w:rPr>
        <w:t>Master Planul Regional pentru Infrastructura de alimentare cu apă și canalizare</w:t>
      </w:r>
    </w:p>
    <w:p w:rsidR="00AC1066" w:rsidRPr="006A7F96" w:rsidRDefault="00AC1066" w:rsidP="00AC1066">
      <w:pPr>
        <w:rPr>
          <w:rFonts w:cs="Arial"/>
          <w:bCs/>
        </w:rPr>
      </w:pPr>
    </w:p>
    <w:p w:rsidR="00AC1066" w:rsidRPr="006A7F96" w:rsidRDefault="00AC1066" w:rsidP="00AC1066">
      <w:pPr>
        <w:rPr>
          <w:rFonts w:cs="Arial"/>
          <w:bCs/>
        </w:rPr>
      </w:pPr>
    </w:p>
    <w:p w:rsidR="00AC1066" w:rsidRDefault="00AC1066" w:rsidP="00AC1066">
      <w:pPr>
        <w:rPr>
          <w:rFonts w:cs="Arial"/>
          <w:bCs/>
        </w:rPr>
      </w:pPr>
    </w:p>
    <w:p w:rsidR="00CF36B4" w:rsidRDefault="00CF36B4" w:rsidP="00AC1066">
      <w:pPr>
        <w:rPr>
          <w:rFonts w:cs="Arial"/>
          <w:bCs/>
        </w:rPr>
      </w:pPr>
    </w:p>
    <w:p w:rsidR="00CF36B4" w:rsidRPr="006A7F96" w:rsidRDefault="00CF36B4" w:rsidP="00AC1066">
      <w:pPr>
        <w:rPr>
          <w:rFonts w:cs="Arial"/>
          <w:bCs/>
        </w:rPr>
      </w:pPr>
    </w:p>
    <w:p w:rsidR="00AC1066" w:rsidRPr="006A7F96" w:rsidRDefault="00AC1066" w:rsidP="00AC1066">
      <w:pPr>
        <w:pStyle w:val="DDCaption"/>
        <w:jc w:val="center"/>
        <w:rPr>
          <w:lang w:val="ro-RO"/>
        </w:rPr>
      </w:pPr>
      <w:bookmarkStart w:id="7" w:name="_Toc430333926"/>
      <w:r w:rsidRPr="006A7F96">
        <w:rPr>
          <w:lang w:val="ro-RO"/>
        </w:rPr>
        <w:t>Figura 34:  Aglomerările / clusterele de canalizare</w:t>
      </w:r>
      <w:bookmarkEnd w:id="7"/>
    </w:p>
    <w:p w:rsidR="00AC1066" w:rsidRPr="006A7F96" w:rsidRDefault="00AC1066" w:rsidP="00AC1066">
      <w:pPr>
        <w:jc w:val="center"/>
      </w:pPr>
      <w:r w:rsidRPr="006A7F96">
        <w:rPr>
          <w:noProof/>
          <w:lang w:val="en-US"/>
        </w:rPr>
        <w:lastRenderedPageBreak/>
        <w:drawing>
          <wp:inline distT="0" distB="0" distL="0" distR="0" wp14:anchorId="6E884245" wp14:editId="7C634487">
            <wp:extent cx="5092700" cy="7209155"/>
            <wp:effectExtent l="19050" t="0" r="0" b="0"/>
            <wp:docPr id="37" name="Picture 34" descr="Description: clustere canal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escription: clustere canal ro"/>
                    <pic:cNvPicPr>
                      <a:picLocks noChangeAspect="1" noChangeArrowheads="1"/>
                    </pic:cNvPicPr>
                  </pic:nvPicPr>
                  <pic:blipFill>
                    <a:blip r:embed="rId10" cstate="print"/>
                    <a:srcRect/>
                    <a:stretch>
                      <a:fillRect/>
                    </a:stretch>
                  </pic:blipFill>
                  <pic:spPr bwMode="auto">
                    <a:xfrm>
                      <a:off x="0" y="0"/>
                      <a:ext cx="5092700" cy="7209155"/>
                    </a:xfrm>
                    <a:prstGeom prst="rect">
                      <a:avLst/>
                    </a:prstGeom>
                    <a:noFill/>
                    <a:ln w="9525">
                      <a:noFill/>
                      <a:miter lim="800000"/>
                      <a:headEnd/>
                      <a:tailEnd/>
                    </a:ln>
                  </pic:spPr>
                </pic:pic>
              </a:graphicData>
            </a:graphic>
          </wp:inline>
        </w:drawing>
      </w:r>
    </w:p>
    <w:p w:rsidR="00AC1066" w:rsidRPr="006A7F96" w:rsidRDefault="00AC1066" w:rsidP="00AC1066">
      <w:pPr>
        <w:rPr>
          <w:rFonts w:cs="Arial"/>
          <w:bCs/>
          <w:i/>
          <w:iCs/>
          <w:sz w:val="18"/>
          <w:szCs w:val="18"/>
        </w:rPr>
      </w:pPr>
      <w:r w:rsidRPr="006A7F96">
        <w:rPr>
          <w:rFonts w:cs="Arial"/>
          <w:bCs/>
          <w:i/>
          <w:iCs/>
          <w:sz w:val="18"/>
          <w:szCs w:val="18"/>
        </w:rPr>
        <w:t xml:space="preserve">Sursa: </w:t>
      </w:r>
      <w:r w:rsidRPr="006A7F96">
        <w:rPr>
          <w:i/>
          <w:iCs/>
          <w:sz w:val="18"/>
          <w:szCs w:val="18"/>
        </w:rPr>
        <w:t>Master Planul Regional pentru Infrastructura de alimentare cu apă și canalizare</w:t>
      </w:r>
    </w:p>
    <w:p w:rsidR="00AC1066" w:rsidRPr="006A7F96" w:rsidRDefault="00AC1066" w:rsidP="00AC1066">
      <w:pPr>
        <w:rPr>
          <w:rFonts w:cs="Arial"/>
          <w:bCs/>
        </w:rPr>
      </w:pPr>
    </w:p>
    <w:p w:rsidR="00AC1066" w:rsidRPr="006A7F96" w:rsidRDefault="00AC1066" w:rsidP="00AC1066">
      <w:pPr>
        <w:rPr>
          <w:rFonts w:cs="Arial"/>
          <w:bCs/>
        </w:rPr>
      </w:pPr>
    </w:p>
    <w:p w:rsidR="00AC1066" w:rsidRPr="006A7F96" w:rsidRDefault="00AC1066" w:rsidP="00AC1066">
      <w:pPr>
        <w:jc w:val="center"/>
        <w:rPr>
          <w:rFonts w:cs="Arial"/>
          <w:bCs/>
        </w:rPr>
      </w:pPr>
    </w:p>
    <w:p w:rsidR="00AC1066" w:rsidRPr="006A7F96" w:rsidRDefault="00AC1066" w:rsidP="00AC1066">
      <w:pPr>
        <w:rPr>
          <w:rFonts w:cs="Arial"/>
          <w:bCs/>
        </w:rPr>
      </w:pPr>
    </w:p>
    <w:p w:rsidR="00AC1066" w:rsidRPr="006A7F96" w:rsidRDefault="00AC1066" w:rsidP="00AC1066">
      <w:pPr>
        <w:pStyle w:val="DDCaption"/>
        <w:jc w:val="center"/>
        <w:rPr>
          <w:rFonts w:cs="Arial"/>
          <w:bCs/>
          <w:lang w:val="ro-RO"/>
        </w:rPr>
      </w:pPr>
      <w:bookmarkStart w:id="8" w:name="_Toc430333927"/>
      <w:r w:rsidRPr="006A7F96">
        <w:rPr>
          <w:lang w:val="ro-RO"/>
        </w:rPr>
        <w:t xml:space="preserve">Figura </w:t>
      </w:r>
      <w:r w:rsidRPr="006A7F96">
        <w:rPr>
          <w:lang w:val="ro-RO"/>
        </w:rPr>
        <w:fldChar w:fldCharType="begin"/>
      </w:r>
      <w:r w:rsidRPr="006A7F96">
        <w:rPr>
          <w:lang w:val="ro-RO"/>
        </w:rPr>
        <w:instrText xml:space="preserve"> SEQ Figura \* ARABIC </w:instrText>
      </w:r>
      <w:r w:rsidRPr="006A7F96">
        <w:rPr>
          <w:lang w:val="ro-RO"/>
        </w:rPr>
        <w:fldChar w:fldCharType="separate"/>
      </w:r>
      <w:r>
        <w:rPr>
          <w:noProof/>
          <w:lang w:val="ro-RO"/>
        </w:rPr>
        <w:t>1</w:t>
      </w:r>
      <w:r w:rsidRPr="006A7F96">
        <w:rPr>
          <w:noProof/>
          <w:lang w:val="ro-RO"/>
        </w:rPr>
        <w:fldChar w:fldCharType="end"/>
      </w:r>
      <w:r w:rsidRPr="006A7F96">
        <w:rPr>
          <w:lang w:val="ro-RO"/>
        </w:rPr>
        <w:t>35: Canalizare: localități cu mai puțin de 2.000 de locuitori echivalenți / locuitori</w:t>
      </w:r>
      <w:bookmarkEnd w:id="8"/>
    </w:p>
    <w:p w:rsidR="00AC1066" w:rsidRPr="006A7F96" w:rsidRDefault="00AC1066" w:rsidP="00AC1066">
      <w:pPr>
        <w:jc w:val="center"/>
        <w:rPr>
          <w:rFonts w:cs="Arial"/>
          <w:bCs/>
        </w:rPr>
      </w:pPr>
      <w:r w:rsidRPr="006A7F96">
        <w:rPr>
          <w:rFonts w:cs="Arial"/>
          <w:noProof/>
          <w:lang w:val="en-US"/>
        </w:rPr>
        <w:lastRenderedPageBreak/>
        <w:drawing>
          <wp:inline distT="0" distB="0" distL="0" distR="0" wp14:anchorId="0748EBCD" wp14:editId="138ADB96">
            <wp:extent cx="5135245" cy="7261860"/>
            <wp:effectExtent l="19050" t="0" r="8255" b="0"/>
            <wp:docPr id="38" name="Picture 35" descr="Description: canal 2000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canal 2000 ro"/>
                    <pic:cNvPicPr>
                      <a:picLocks noChangeAspect="1" noChangeArrowheads="1"/>
                    </pic:cNvPicPr>
                  </pic:nvPicPr>
                  <pic:blipFill>
                    <a:blip r:embed="rId11" cstate="print"/>
                    <a:srcRect/>
                    <a:stretch>
                      <a:fillRect/>
                    </a:stretch>
                  </pic:blipFill>
                  <pic:spPr bwMode="auto">
                    <a:xfrm>
                      <a:off x="0" y="0"/>
                      <a:ext cx="5135245" cy="7261860"/>
                    </a:xfrm>
                    <a:prstGeom prst="rect">
                      <a:avLst/>
                    </a:prstGeom>
                    <a:noFill/>
                    <a:ln w="9525">
                      <a:noFill/>
                      <a:miter lim="800000"/>
                      <a:headEnd/>
                      <a:tailEnd/>
                    </a:ln>
                  </pic:spPr>
                </pic:pic>
              </a:graphicData>
            </a:graphic>
          </wp:inline>
        </w:drawing>
      </w:r>
    </w:p>
    <w:p w:rsidR="00AC1066" w:rsidRPr="006A7F96" w:rsidRDefault="00AC1066" w:rsidP="00AC1066">
      <w:pPr>
        <w:jc w:val="center"/>
        <w:rPr>
          <w:rFonts w:cs="Arial"/>
          <w:bCs/>
          <w:i/>
          <w:iCs/>
          <w:sz w:val="18"/>
          <w:szCs w:val="18"/>
        </w:rPr>
      </w:pPr>
      <w:r w:rsidRPr="006A7F96">
        <w:rPr>
          <w:rFonts w:cs="Arial"/>
          <w:bCs/>
          <w:i/>
          <w:iCs/>
          <w:sz w:val="18"/>
          <w:szCs w:val="18"/>
        </w:rPr>
        <w:t>Sursa: Ghid de investiții pentru proiecte de ap</w:t>
      </w:r>
      <w:r w:rsidRPr="006A7F96">
        <w:rPr>
          <w:i/>
          <w:iCs/>
          <w:sz w:val="18"/>
          <w:szCs w:val="18"/>
        </w:rPr>
        <w:t>ă</w:t>
      </w:r>
      <w:r w:rsidRPr="006A7F96">
        <w:rPr>
          <w:rFonts w:cs="Arial"/>
          <w:bCs/>
          <w:i/>
          <w:iCs/>
          <w:sz w:val="18"/>
          <w:szCs w:val="18"/>
        </w:rPr>
        <w:t xml:space="preserve"> </w:t>
      </w:r>
      <w:r w:rsidRPr="006A7F96">
        <w:rPr>
          <w:i/>
          <w:iCs/>
          <w:sz w:val="18"/>
          <w:szCs w:val="18"/>
        </w:rPr>
        <w:t>ș</w:t>
      </w:r>
      <w:r w:rsidRPr="006A7F96">
        <w:rPr>
          <w:rFonts w:cs="Arial"/>
          <w:bCs/>
          <w:i/>
          <w:iCs/>
          <w:sz w:val="18"/>
          <w:szCs w:val="18"/>
        </w:rPr>
        <w:t>i de ap</w:t>
      </w:r>
      <w:r w:rsidRPr="006A7F96">
        <w:rPr>
          <w:i/>
          <w:iCs/>
          <w:sz w:val="18"/>
          <w:szCs w:val="18"/>
        </w:rPr>
        <w:t>ă</w:t>
      </w:r>
      <w:r w:rsidRPr="006A7F96">
        <w:rPr>
          <w:rFonts w:cs="Arial"/>
          <w:bCs/>
          <w:i/>
          <w:iCs/>
          <w:sz w:val="18"/>
          <w:szCs w:val="18"/>
        </w:rPr>
        <w:t xml:space="preserve"> uzat</w:t>
      </w:r>
      <w:r w:rsidRPr="006A7F96">
        <w:rPr>
          <w:i/>
          <w:iCs/>
          <w:sz w:val="18"/>
          <w:szCs w:val="18"/>
        </w:rPr>
        <w:t>ă</w:t>
      </w:r>
      <w:r w:rsidRPr="006A7F96">
        <w:rPr>
          <w:rFonts w:cs="Arial"/>
          <w:bCs/>
          <w:i/>
          <w:iCs/>
          <w:sz w:val="18"/>
          <w:szCs w:val="18"/>
        </w:rPr>
        <w:t>, Grupul Banca Mondială</w:t>
      </w:r>
    </w:p>
    <w:p w:rsidR="00AC1066" w:rsidRPr="006A7F96" w:rsidRDefault="00AC1066" w:rsidP="00AC1066">
      <w:pPr>
        <w:pStyle w:val="DDCaption"/>
        <w:jc w:val="center"/>
        <w:rPr>
          <w:lang w:val="ro-RO"/>
        </w:rPr>
      </w:pPr>
      <w:bookmarkStart w:id="9" w:name="_Toc430333928"/>
    </w:p>
    <w:p w:rsidR="00AC1066" w:rsidRPr="006A7F96" w:rsidRDefault="00AC1066" w:rsidP="00AC1066">
      <w:pPr>
        <w:pStyle w:val="DDCaption"/>
        <w:jc w:val="center"/>
        <w:rPr>
          <w:lang w:val="ro-RO"/>
        </w:rPr>
      </w:pPr>
    </w:p>
    <w:p w:rsidR="00AC1066" w:rsidRPr="006A7F96" w:rsidRDefault="00AC1066" w:rsidP="00AC1066">
      <w:pPr>
        <w:pStyle w:val="DDCaption"/>
        <w:jc w:val="center"/>
        <w:rPr>
          <w:lang w:val="ro-RO"/>
        </w:rPr>
      </w:pPr>
      <w:r w:rsidRPr="006A7F96">
        <w:rPr>
          <w:lang w:val="ro-RO"/>
        </w:rPr>
        <w:br w:type="page"/>
      </w:r>
    </w:p>
    <w:p w:rsidR="00AC1066" w:rsidRPr="006A7F96" w:rsidRDefault="00AC1066" w:rsidP="00AC1066">
      <w:pPr>
        <w:pStyle w:val="DDCaption"/>
        <w:jc w:val="center"/>
        <w:rPr>
          <w:lang w:val="ro-RO"/>
        </w:rPr>
      </w:pPr>
      <w:r w:rsidRPr="006A7F96">
        <w:rPr>
          <w:lang w:val="ro-RO"/>
        </w:rPr>
        <w:lastRenderedPageBreak/>
        <w:t>Figura 36:  Investiții prioritare pentru alimentarea cu apă propuse prin POIM 2014-2020</w:t>
      </w:r>
      <w:bookmarkEnd w:id="9"/>
    </w:p>
    <w:p w:rsidR="00AC1066" w:rsidRPr="006A7F96" w:rsidRDefault="00AC1066" w:rsidP="00AC1066">
      <w:pPr>
        <w:jc w:val="center"/>
      </w:pPr>
      <w:r w:rsidRPr="006A7F96">
        <w:rPr>
          <w:noProof/>
          <w:lang w:val="en-US"/>
        </w:rPr>
        <w:drawing>
          <wp:inline distT="0" distB="0" distL="0" distR="0" wp14:anchorId="5116C13D" wp14:editId="71002064">
            <wp:extent cx="5422900" cy="7666355"/>
            <wp:effectExtent l="19050" t="0" r="6350" b="0"/>
            <wp:docPr id="39" name="Picture 36" descr="Description: inv apa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cription: inv apa ro"/>
                    <pic:cNvPicPr>
                      <a:picLocks noChangeAspect="1" noChangeArrowheads="1"/>
                    </pic:cNvPicPr>
                  </pic:nvPicPr>
                  <pic:blipFill>
                    <a:blip r:embed="rId12" cstate="print"/>
                    <a:srcRect/>
                    <a:stretch>
                      <a:fillRect/>
                    </a:stretch>
                  </pic:blipFill>
                  <pic:spPr bwMode="auto">
                    <a:xfrm>
                      <a:off x="0" y="0"/>
                      <a:ext cx="5422900" cy="7666355"/>
                    </a:xfrm>
                    <a:prstGeom prst="rect">
                      <a:avLst/>
                    </a:prstGeom>
                    <a:noFill/>
                    <a:ln w="9525">
                      <a:noFill/>
                      <a:miter lim="800000"/>
                      <a:headEnd/>
                      <a:tailEnd/>
                    </a:ln>
                  </pic:spPr>
                </pic:pic>
              </a:graphicData>
            </a:graphic>
          </wp:inline>
        </w:drawing>
      </w:r>
    </w:p>
    <w:p w:rsidR="00AC1066" w:rsidRPr="006A7F96" w:rsidRDefault="00AC1066" w:rsidP="00AC1066">
      <w:pPr>
        <w:rPr>
          <w:rFonts w:cs="Arial"/>
          <w:bCs/>
          <w:i/>
          <w:iCs/>
          <w:sz w:val="18"/>
          <w:szCs w:val="18"/>
        </w:rPr>
      </w:pPr>
      <w:r w:rsidRPr="006A7F96">
        <w:rPr>
          <w:rFonts w:cs="Arial"/>
          <w:bCs/>
          <w:i/>
          <w:iCs/>
          <w:sz w:val="18"/>
          <w:szCs w:val="18"/>
        </w:rPr>
        <w:t xml:space="preserve">      Sursa: POIM 2014-2020</w:t>
      </w:r>
    </w:p>
    <w:p w:rsidR="00AC1066" w:rsidRPr="006A7F96" w:rsidRDefault="00AC1066" w:rsidP="00AC1066">
      <w:pPr>
        <w:rPr>
          <w:rFonts w:cs="Arial"/>
          <w:bCs/>
        </w:rPr>
      </w:pPr>
    </w:p>
    <w:p w:rsidR="00AC1066" w:rsidRPr="006A7F96" w:rsidRDefault="00AC1066" w:rsidP="00AC1066">
      <w:pPr>
        <w:rPr>
          <w:rFonts w:cs="Arial"/>
          <w:bCs/>
        </w:rPr>
      </w:pPr>
    </w:p>
    <w:p w:rsidR="00AC1066" w:rsidRPr="006A7F96" w:rsidRDefault="00AC1066" w:rsidP="00AC1066">
      <w:pPr>
        <w:pStyle w:val="DDCaption"/>
        <w:jc w:val="center"/>
        <w:rPr>
          <w:lang w:val="ro-RO"/>
        </w:rPr>
      </w:pPr>
      <w:bookmarkStart w:id="10" w:name="_Toc430333929"/>
    </w:p>
    <w:p w:rsidR="00AC1066" w:rsidRPr="006A7F96" w:rsidRDefault="00AC1066" w:rsidP="00AC1066">
      <w:pPr>
        <w:pStyle w:val="DDCaption"/>
        <w:jc w:val="center"/>
        <w:rPr>
          <w:lang w:val="ro-RO"/>
        </w:rPr>
      </w:pPr>
      <w:r w:rsidRPr="006A7F96">
        <w:rPr>
          <w:lang w:val="ro-RO"/>
        </w:rPr>
        <w:t>Figura 37:  Investiții prioritare pentru canalizare propuse prin POIM 2014-2020</w:t>
      </w:r>
      <w:bookmarkEnd w:id="10"/>
    </w:p>
    <w:p w:rsidR="00AC1066" w:rsidRPr="006A7F96" w:rsidRDefault="00AC1066" w:rsidP="00AC1066">
      <w:pPr>
        <w:jc w:val="center"/>
      </w:pPr>
      <w:r w:rsidRPr="006A7F96">
        <w:rPr>
          <w:noProof/>
          <w:lang w:val="en-US"/>
        </w:rPr>
        <w:drawing>
          <wp:inline distT="0" distB="0" distL="0" distR="0" wp14:anchorId="2CE7975D" wp14:editId="4BA68827">
            <wp:extent cx="5093597" cy="7305675"/>
            <wp:effectExtent l="0" t="0" r="0" b="0"/>
            <wp:docPr id="40" name="Picture 37" descr="Description: inv canal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scription: inv canal ro"/>
                    <pic:cNvPicPr>
                      <a:picLocks noChangeAspect="1" noChangeArrowheads="1"/>
                    </pic:cNvPicPr>
                  </pic:nvPicPr>
                  <pic:blipFill>
                    <a:blip r:embed="rId13" cstate="print"/>
                    <a:srcRect/>
                    <a:stretch>
                      <a:fillRect/>
                    </a:stretch>
                  </pic:blipFill>
                  <pic:spPr bwMode="auto">
                    <a:xfrm>
                      <a:off x="0" y="0"/>
                      <a:ext cx="5092700" cy="7304388"/>
                    </a:xfrm>
                    <a:prstGeom prst="rect">
                      <a:avLst/>
                    </a:prstGeom>
                    <a:noFill/>
                    <a:ln w="9525">
                      <a:noFill/>
                      <a:miter lim="800000"/>
                      <a:headEnd/>
                      <a:tailEnd/>
                    </a:ln>
                  </pic:spPr>
                </pic:pic>
              </a:graphicData>
            </a:graphic>
          </wp:inline>
        </w:drawing>
      </w:r>
    </w:p>
    <w:p w:rsidR="00AC1066" w:rsidRPr="006A7F96" w:rsidRDefault="00AC1066" w:rsidP="00AC1066">
      <w:pPr>
        <w:rPr>
          <w:rFonts w:cs="Arial"/>
          <w:bCs/>
          <w:i/>
          <w:iCs/>
          <w:sz w:val="18"/>
          <w:szCs w:val="18"/>
        </w:rPr>
      </w:pPr>
      <w:r w:rsidRPr="006A7F96">
        <w:rPr>
          <w:rFonts w:cs="Arial"/>
          <w:bCs/>
          <w:i/>
          <w:iCs/>
          <w:sz w:val="18"/>
          <w:szCs w:val="18"/>
        </w:rPr>
        <w:t xml:space="preserve">         Sursa: POIM 2014-2020</w:t>
      </w:r>
    </w:p>
    <w:p w:rsidR="00AC1066" w:rsidRPr="006A7F96" w:rsidRDefault="00AC1066" w:rsidP="00AC1066">
      <w:pPr>
        <w:rPr>
          <w:rFonts w:cs="Arial"/>
          <w:bCs/>
        </w:rPr>
      </w:pPr>
    </w:p>
    <w:p w:rsidR="00AC1066" w:rsidRPr="006A7F96" w:rsidRDefault="00AC1066" w:rsidP="00AC1066">
      <w:pPr>
        <w:rPr>
          <w:rFonts w:cs="Arial"/>
          <w:bCs/>
          <w:highlight w:val="green"/>
        </w:rPr>
      </w:pPr>
    </w:p>
    <w:p w:rsidR="00AC1066" w:rsidRPr="006A7F96" w:rsidRDefault="00AC1066" w:rsidP="00AC1066">
      <w:pPr>
        <w:rPr>
          <w:rFonts w:cs="Arial"/>
          <w:bCs/>
          <w:highlight w:val="green"/>
        </w:rPr>
      </w:pPr>
    </w:p>
    <w:p w:rsidR="00AC1066" w:rsidRPr="006A7F96" w:rsidRDefault="00AC1066" w:rsidP="00CF36B4">
      <w:pPr>
        <w:jc w:val="both"/>
        <w:rPr>
          <w:rFonts w:cs="Arial"/>
          <w:bCs/>
        </w:rPr>
      </w:pPr>
      <w:r w:rsidRPr="006A7F96">
        <w:rPr>
          <w:rFonts w:cs="Arial"/>
          <w:bCs/>
        </w:rPr>
        <w:lastRenderedPageBreak/>
        <w:t xml:space="preserve">Extinderea și reabilitarea rețelei de apă și canalizare, axate cu precădere pe aglomerările de peste 2.000 de locuitori, urbane și rurale, va aduce beneficii însemnate asupra calității vieții locuitorilor, asupra stării de sănătate a populației și asupra protecției resurselor și biodiversității Deltei Dunării. Ținând cont de specificul Deltei Dunării, sunt necesare intervenții pentru dezvoltarea infrastructurii de apă și epurare apă uzată, inclusiv pentru așezările cu o populație mai mică de 2000 de locuitori. </w:t>
      </w:r>
    </w:p>
    <w:p w:rsidR="00AC1066" w:rsidRPr="006A7F96" w:rsidRDefault="00AC1066" w:rsidP="00CF36B4">
      <w:pPr>
        <w:pStyle w:val="DDsubSect"/>
        <w:rPr>
          <w:lang w:val="ro-RO"/>
        </w:rPr>
      </w:pPr>
      <w:r w:rsidRPr="006A7F96">
        <w:rPr>
          <w:lang w:val="ro-RO"/>
        </w:rPr>
        <w:t xml:space="preserve">Gestionarea deșeurilor </w:t>
      </w:r>
    </w:p>
    <w:p w:rsidR="00AC1066" w:rsidRPr="006A7F96" w:rsidRDefault="00AC1066" w:rsidP="00CF36B4">
      <w:pPr>
        <w:jc w:val="both"/>
      </w:pPr>
      <w:r w:rsidRPr="006A7F96">
        <w:t>La nivelul anului 2013, 76% din populația teritoriului ITI Delta Dunării beneficia de servicii de salubritate, procentul fiind mai scăzut în mediul rural (67%) decât în cel urban (87%). Operatorii economici din domeniu au colectat, în total, 41.674 de tone de deșeuri municipale din totalul celor 47.634 tone generate (grad de colectare de 87%). Dintre acestea, doar 575 tone de deșeuri (1,4% din total) au fost colectate selectiv, cele mai multe fiind cele de plastic și hârtie, în timp ce restul s-au colectat în amestec și au necesitat sortare</w:t>
      </w:r>
      <w:r w:rsidRPr="006A7F96">
        <w:rPr>
          <w:rStyle w:val="FootnoteReference"/>
        </w:rPr>
        <w:footnoteReference w:id="6"/>
      </w:r>
      <w:r w:rsidRPr="006A7F96">
        <w:t xml:space="preserve">. </w:t>
      </w:r>
    </w:p>
    <w:p w:rsidR="00AC1066" w:rsidRPr="006A7F96" w:rsidRDefault="00AC1066" w:rsidP="00CF36B4">
      <w:pPr>
        <w:jc w:val="both"/>
      </w:pPr>
      <w:r w:rsidRPr="006A7F96">
        <w:t>Deșeurile biodegradabile municipale este aruncat împreună cu celelalte tipuri de deșeuri; în acest moment nu există o metodă de colectare separată a deșeurilor biodegradabile pentru a putea fi tratate și a nu fi lăsate la depozitul de deșeuri.</w:t>
      </w:r>
    </w:p>
    <w:p w:rsidR="00AC1066" w:rsidRPr="006A7F96" w:rsidRDefault="00AC1066" w:rsidP="00CF36B4">
      <w:pPr>
        <w:jc w:val="both"/>
      </w:pPr>
      <w:r w:rsidRPr="006A7F96">
        <w:t xml:space="preserve"> Atât procesul de reciclare cât și fertilizarea vor reduce semnificativ fluxul de deșeuri de eliminat atât în zona RBDD, cât și în afara acesteia. Beneficiile sunt următoarele: (i) creșterea ratei de colectare a materialelor reciclabile (se reduce astfel rata de depozitare în gropile de gunoi); (ii) se evită costurile de depozitare și transportare, incluzând reducerea poluării și economisirea resurselor de teren (datorită reducerii deșeurilor prin intermediul selectării la sursă și a reciclării); (iii) se evită exploatarea materiei brute (datorită reciclării materialelor de valoare, care au fost separate din deșeurile municipale); (iv) conștientizarea și participarea cetățenilor la procesul de separare a deșeurilor și de reciclare; (v) valoare economică a energiei (biogaz) generate prin tratarea deșeurilor alimentare; și (vi) beneficii de protecție a mediului și ecologice, incluzând rezultate privind reducerea emisiilor de gaze cu efect de seră.</w:t>
      </w:r>
    </w:p>
    <w:p w:rsidR="00AC1066" w:rsidRPr="006A7F96" w:rsidRDefault="00AC1066" w:rsidP="00CF36B4">
      <w:pPr>
        <w:jc w:val="both"/>
      </w:pPr>
      <w:r w:rsidRPr="006A7F96">
        <w:t>În ceea ce privește deșeurile provenind din construcții, producătorii de deșeuri, precum și autoritățile administrative locale au obligația să recicleze 70% din deșeurile provenite din construcții și demolări care nu prezintă pericol până în anul 2020, conform art. 11 din Directiva 2008/98/CE și în concordanță cu Legea nr. 211/2011. În prezent nu există centre de tratare sau refolosire a deșeurilor rezultate din urma construcțiilor si a demolărilor în județul Tulcea, acestea fiind lăsate la depozitul de deșeuri. De asemenea, doar o mică parte din aceste deșeuri este gestionată, restul fiind depozitate în locuri neautorizate.</w:t>
      </w:r>
    </w:p>
    <w:p w:rsidR="00AC1066" w:rsidRPr="006A7F96" w:rsidRDefault="00AC1066" w:rsidP="00CF36B4">
      <w:pPr>
        <w:pStyle w:val="DDsubSect"/>
        <w:rPr>
          <w:lang w:val="ro-RO"/>
        </w:rPr>
      </w:pPr>
      <w:r w:rsidRPr="006A7F96">
        <w:rPr>
          <w:lang w:val="ro-RO"/>
        </w:rPr>
        <w:t>Sănătate</w:t>
      </w:r>
    </w:p>
    <w:p w:rsidR="00AC1066" w:rsidRPr="006A7F96" w:rsidRDefault="00AC1066" w:rsidP="00CF36B4">
      <w:pPr>
        <w:jc w:val="both"/>
      </w:pPr>
      <w:r w:rsidRPr="006A7F96">
        <w:t>Există doar câțiva furnizori de asistență medicală primară în Centrul Deltei.</w:t>
      </w:r>
      <w:r w:rsidRPr="006A7F96">
        <w:rPr>
          <w:b/>
        </w:rPr>
        <w:t xml:space="preserve"> </w:t>
      </w:r>
      <w:r w:rsidRPr="006A7F96">
        <w:t>Servicii non-stop sunt oferite doar în trei „Centre de permanență”, în timp ce în zonele izolate doar un singur medic și/sau o asistentă medicală pot asigura servicii în afara orelor de program. Nouă sate nu sunt acoperite de un medic de familie</w:t>
      </w:r>
      <w:r w:rsidRPr="006A7F96">
        <w:rPr>
          <w:bCs/>
        </w:rPr>
        <w:t>. Așa cum se poate observa din figurile de mai jos, în Centrul Deltei există doar patru medici de familie la nivel local</w:t>
      </w:r>
      <w:r w:rsidRPr="006A7F96">
        <w:t>, patru medici de familie cu jumătate de normă, care fac deplasarea din orașul Tulcea, trei asistente și șase</w:t>
      </w:r>
      <w:bookmarkStart w:id="11" w:name="_Toc430333930"/>
      <w:r w:rsidRPr="006A7F96">
        <w:t xml:space="preserve"> asistenți medicali comunitari.</w:t>
      </w:r>
    </w:p>
    <w:p w:rsidR="00AC1066" w:rsidRPr="006A7F96" w:rsidRDefault="00AC1066" w:rsidP="00CF36B4">
      <w:pPr>
        <w:pStyle w:val="DDCaption"/>
        <w:rPr>
          <w:lang w:val="ro-RO"/>
        </w:rPr>
      </w:pPr>
    </w:p>
    <w:p w:rsidR="00AC1066" w:rsidRDefault="00AC1066" w:rsidP="00AC1066">
      <w:pPr>
        <w:pStyle w:val="DDCaption"/>
        <w:jc w:val="center"/>
        <w:rPr>
          <w:lang w:val="ro-RO"/>
        </w:rPr>
      </w:pPr>
    </w:p>
    <w:p w:rsidR="00CF36B4" w:rsidRDefault="00CF36B4" w:rsidP="00AC1066">
      <w:pPr>
        <w:pStyle w:val="DDCaption"/>
        <w:jc w:val="center"/>
        <w:rPr>
          <w:lang w:val="ro-RO"/>
        </w:rPr>
      </w:pPr>
    </w:p>
    <w:p w:rsidR="00CF36B4" w:rsidRDefault="00CF36B4" w:rsidP="00AC1066">
      <w:pPr>
        <w:pStyle w:val="DDCaption"/>
        <w:jc w:val="center"/>
        <w:rPr>
          <w:lang w:val="ro-RO"/>
        </w:rPr>
      </w:pPr>
    </w:p>
    <w:p w:rsidR="00CF36B4" w:rsidRDefault="00CF36B4" w:rsidP="00AC1066">
      <w:pPr>
        <w:pStyle w:val="DDCaption"/>
        <w:jc w:val="center"/>
        <w:rPr>
          <w:lang w:val="ro-RO"/>
        </w:rPr>
      </w:pPr>
    </w:p>
    <w:p w:rsidR="00CF36B4" w:rsidRPr="006A7F96" w:rsidRDefault="00CF36B4" w:rsidP="00AC1066">
      <w:pPr>
        <w:pStyle w:val="DDCaption"/>
        <w:jc w:val="center"/>
        <w:rPr>
          <w:lang w:val="ro-RO"/>
        </w:rPr>
      </w:pPr>
    </w:p>
    <w:p w:rsidR="00AC1066" w:rsidRPr="006A7F96" w:rsidRDefault="00AC1066" w:rsidP="00AC1066">
      <w:pPr>
        <w:pStyle w:val="DDCaption"/>
        <w:jc w:val="center"/>
        <w:rPr>
          <w:lang w:val="ro-RO"/>
        </w:rPr>
      </w:pPr>
    </w:p>
    <w:p w:rsidR="00AC1066" w:rsidRPr="006A7F96" w:rsidRDefault="00AC1066" w:rsidP="00AC1066">
      <w:pPr>
        <w:pStyle w:val="DDCaption"/>
        <w:jc w:val="center"/>
        <w:rPr>
          <w:lang w:val="ro-RO"/>
        </w:rPr>
      </w:pPr>
      <w:r w:rsidRPr="006A7F96">
        <w:rPr>
          <w:lang w:val="ro-RO"/>
        </w:rPr>
        <w:lastRenderedPageBreak/>
        <w:t>Figura 38:  Infrastructura de sănătate</w:t>
      </w:r>
      <w:bookmarkEnd w:id="11"/>
    </w:p>
    <w:p w:rsidR="00AC1066" w:rsidRPr="006A7F96" w:rsidRDefault="00AC1066" w:rsidP="00AC1066">
      <w:r w:rsidRPr="006A7F96">
        <w:rPr>
          <w:noProof/>
          <w:lang w:val="en-US"/>
        </w:rPr>
        <w:drawing>
          <wp:inline distT="0" distB="0" distL="0" distR="0" wp14:anchorId="4EC210F1" wp14:editId="0610C00D">
            <wp:extent cx="5656580" cy="7985125"/>
            <wp:effectExtent l="19050" t="0" r="1270" b="0"/>
            <wp:docPr id="41" name="Picture 38" descr="Description: sana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cription: sana ro"/>
                    <pic:cNvPicPr>
                      <a:picLocks noChangeAspect="1" noChangeArrowheads="1"/>
                    </pic:cNvPicPr>
                  </pic:nvPicPr>
                  <pic:blipFill>
                    <a:blip r:embed="rId14" cstate="print"/>
                    <a:srcRect/>
                    <a:stretch>
                      <a:fillRect/>
                    </a:stretch>
                  </pic:blipFill>
                  <pic:spPr bwMode="auto">
                    <a:xfrm>
                      <a:off x="0" y="0"/>
                      <a:ext cx="5656580" cy="7985125"/>
                    </a:xfrm>
                    <a:prstGeom prst="rect">
                      <a:avLst/>
                    </a:prstGeom>
                    <a:noFill/>
                    <a:ln w="9525">
                      <a:noFill/>
                      <a:miter lim="800000"/>
                      <a:headEnd/>
                      <a:tailEnd/>
                    </a:ln>
                  </pic:spPr>
                </pic:pic>
              </a:graphicData>
            </a:graphic>
          </wp:inline>
        </w:drawing>
      </w:r>
    </w:p>
    <w:p w:rsidR="00AC1066" w:rsidRPr="006A7F96" w:rsidRDefault="00AC1066" w:rsidP="00AC1066">
      <w:pPr>
        <w:rPr>
          <w:rFonts w:cs="Arial"/>
          <w:bCs/>
          <w:i/>
          <w:iCs/>
          <w:sz w:val="18"/>
          <w:szCs w:val="18"/>
        </w:rPr>
      </w:pPr>
      <w:r w:rsidRPr="006A7F96">
        <w:rPr>
          <w:rFonts w:cs="Arial"/>
          <w:bCs/>
          <w:i/>
          <w:iCs/>
          <w:sz w:val="18"/>
          <w:szCs w:val="18"/>
        </w:rPr>
        <w:t>Sursa: Ghid de investiții pentru proiecte locale: Drumuri comunale și infrastructură socială, Grupul Banca Mondială</w:t>
      </w:r>
    </w:p>
    <w:p w:rsidR="00AC1066" w:rsidRPr="006A7F96" w:rsidRDefault="00AC1066" w:rsidP="00AC1066">
      <w:pPr>
        <w:rPr>
          <w:rFonts w:cs="Arial"/>
          <w:bCs/>
          <w:i/>
          <w:iCs/>
          <w:sz w:val="18"/>
          <w:szCs w:val="18"/>
        </w:rPr>
      </w:pPr>
    </w:p>
    <w:tbl>
      <w:tblPr>
        <w:tblW w:w="9576" w:type="dxa"/>
        <w:tblLayout w:type="fixed"/>
        <w:tblLook w:val="0000" w:firstRow="0" w:lastRow="0" w:firstColumn="0" w:lastColumn="0" w:noHBand="0" w:noVBand="0"/>
      </w:tblPr>
      <w:tblGrid>
        <w:gridCol w:w="4788"/>
        <w:gridCol w:w="4788"/>
      </w:tblGrid>
      <w:tr w:rsidR="00AC1066" w:rsidRPr="006A7F96" w:rsidTr="0040775C">
        <w:tc>
          <w:tcPr>
            <w:tcW w:w="4788" w:type="dxa"/>
          </w:tcPr>
          <w:p w:rsidR="00AC1066" w:rsidRPr="006A7F96" w:rsidRDefault="00AC1066" w:rsidP="0040775C">
            <w:pPr>
              <w:pStyle w:val="DDCaption"/>
              <w:rPr>
                <w:lang w:val="ro-RO"/>
              </w:rPr>
            </w:pPr>
            <w:bookmarkStart w:id="12" w:name="_Toc430333931"/>
            <w:r w:rsidRPr="006A7F96">
              <w:rPr>
                <w:lang w:val="ro-RO"/>
              </w:rPr>
              <w:lastRenderedPageBreak/>
              <w:t>Figura 39:  Deservirea populației din Centrul Deltei va continua să se bazeze pe utilizarea spitalelor județene</w:t>
            </w:r>
            <w:bookmarkEnd w:id="12"/>
          </w:p>
        </w:tc>
        <w:tc>
          <w:tcPr>
            <w:tcW w:w="4788" w:type="dxa"/>
          </w:tcPr>
          <w:p w:rsidR="00AC1066" w:rsidRPr="006A7F96" w:rsidRDefault="00AC1066" w:rsidP="0040775C">
            <w:pPr>
              <w:pStyle w:val="DDCaption"/>
              <w:rPr>
                <w:lang w:val="ro-RO"/>
              </w:rPr>
            </w:pPr>
            <w:bookmarkStart w:id="13" w:name="_Toc430333932"/>
            <w:r w:rsidRPr="006A7F96">
              <w:rPr>
                <w:lang w:val="ro-RO"/>
              </w:rPr>
              <w:t>Figura 40: Numărul asistentelor medicale raportat la 10.000 de locuitori în Zona de Studiu</w:t>
            </w:r>
            <w:bookmarkEnd w:id="13"/>
          </w:p>
        </w:tc>
      </w:tr>
      <w:tr w:rsidR="00AC1066" w:rsidRPr="006A7F96" w:rsidTr="0040775C">
        <w:tc>
          <w:tcPr>
            <w:tcW w:w="4788" w:type="dxa"/>
          </w:tcPr>
          <w:p w:rsidR="00AC1066" w:rsidRPr="006A7F96" w:rsidRDefault="00AC1066" w:rsidP="0040775C">
            <w:pPr>
              <w:pStyle w:val="Caption"/>
              <w:rPr>
                <w:sz w:val="22"/>
                <w:lang w:val="ro-RO" w:eastAsia="en-US"/>
              </w:rPr>
            </w:pPr>
            <w:r w:rsidRPr="006A7F96">
              <w:rPr>
                <w:noProof/>
                <w:sz w:val="22"/>
                <w:lang w:eastAsia="en-US"/>
              </w:rPr>
              <mc:AlternateContent>
                <mc:Choice Requires="wps">
                  <w:drawing>
                    <wp:anchor distT="0" distB="0" distL="114300" distR="114300" simplePos="0" relativeHeight="251663360" behindDoc="0" locked="0" layoutInCell="1" allowOverlap="1" wp14:anchorId="4BA465AC" wp14:editId="7CDD651A">
                      <wp:simplePos x="0" y="0"/>
                      <wp:positionH relativeFrom="column">
                        <wp:posOffset>2058670</wp:posOffset>
                      </wp:positionH>
                      <wp:positionV relativeFrom="paragraph">
                        <wp:posOffset>1692910</wp:posOffset>
                      </wp:positionV>
                      <wp:extent cx="862965" cy="136525"/>
                      <wp:effectExtent l="0" t="0" r="0" b="0"/>
                      <wp:wrapNone/>
                      <wp:docPr id="137"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2965" cy="136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1066" w:rsidRDefault="00AC1066" w:rsidP="00AC1066">
                                  <w:pPr>
                                    <w:rPr>
                                      <w:b/>
                                      <w:sz w:val="16"/>
                                      <w:szCs w:val="16"/>
                                    </w:rPr>
                                  </w:pPr>
                                  <w:r>
                                    <w:rPr>
                                      <w:b/>
                                      <w:sz w:val="16"/>
                                      <w:szCs w:val="16"/>
                                    </w:rPr>
                                    <w:t xml:space="preserve">Locuitori </w:t>
                                  </w:r>
                                  <w:r>
                                    <w:rPr>
                                      <w:b/>
                                      <w:sz w:val="16"/>
                                      <w:szCs w:val="16"/>
                                    </w:rPr>
                                    <w:t>per medic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A465AC" id="Text Box 298" o:spid="_x0000_s1027" style="position:absolute;left:0;text-align:left;margin-left:162.1pt;margin-top:133.3pt;width:67.95pt;height:10.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" stroked="f">
                      <v:textbox inset="0,0,0,0">
                        <w:txbxContent>
                          <w:p w:rsidR="00AC1066" w:rsidRDefault="00AC1066" w:rsidP="00AC1066">
                            <w:pPr>
                              <w:rPr>
                                <w:b/>
                                <w:sz w:val="16"/>
                                <w:szCs w:val="16"/>
                              </w:rPr>
                            </w:pPr>
                            <w:r>
                              <w:rPr>
                                <w:b/>
                                <w:sz w:val="16"/>
                                <w:szCs w:val="16"/>
                              </w:rPr>
                              <w:t xml:space="preserve">Locuitori </w:t>
                            </w:r>
                            <w:r>
                              <w:rPr>
                                <w:b/>
                                <w:sz w:val="16"/>
                                <w:szCs w:val="16"/>
                              </w:rPr>
                              <w:t>per medic</w:t>
                            </w:r>
                          </w:p>
                        </w:txbxContent>
                      </v:textbox>
                    </v:rect>
                  </w:pict>
                </mc:Fallback>
              </mc:AlternateContent>
            </w:r>
            <w:r w:rsidRPr="006A7F96">
              <w:rPr>
                <w:noProof/>
                <w:sz w:val="22"/>
                <w:lang w:eastAsia="en-US"/>
              </w:rPr>
              <w:drawing>
                <wp:inline distT="0" distB="0" distL="0" distR="0" wp14:anchorId="547C8CAE" wp14:editId="492DE154">
                  <wp:extent cx="2945130" cy="2275205"/>
                  <wp:effectExtent l="19050" t="0" r="7620" b="0"/>
                  <wp:docPr id="4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cstate="print"/>
                          <a:srcRect/>
                          <a:stretch>
                            <a:fillRect/>
                          </a:stretch>
                        </pic:blipFill>
                        <pic:spPr bwMode="auto">
                          <a:xfrm>
                            <a:off x="0" y="0"/>
                            <a:ext cx="2945130" cy="2275205"/>
                          </a:xfrm>
                          <a:prstGeom prst="rect">
                            <a:avLst/>
                          </a:prstGeom>
                          <a:noFill/>
                          <a:ln w="9525">
                            <a:noFill/>
                            <a:miter lim="800000"/>
                            <a:headEnd/>
                            <a:tailEnd/>
                          </a:ln>
                        </pic:spPr>
                      </pic:pic>
                    </a:graphicData>
                  </a:graphic>
                </wp:inline>
              </w:drawing>
            </w:r>
          </w:p>
        </w:tc>
        <w:tc>
          <w:tcPr>
            <w:tcW w:w="4788" w:type="dxa"/>
          </w:tcPr>
          <w:p w:rsidR="00AC1066" w:rsidRPr="006A7F96" w:rsidRDefault="00AC1066" w:rsidP="0040775C">
            <w:pPr>
              <w:pStyle w:val="Caption"/>
              <w:rPr>
                <w:sz w:val="22"/>
                <w:lang w:val="ro-RO" w:eastAsia="en-US"/>
              </w:rPr>
            </w:pPr>
            <w:r w:rsidRPr="006A7F96">
              <w:rPr>
                <w:noProof/>
                <w:sz w:val="22"/>
                <w:lang w:eastAsia="en-US"/>
              </w:rPr>
              <mc:AlternateContent>
                <mc:Choice Requires="wps">
                  <w:drawing>
                    <wp:anchor distT="0" distB="0" distL="114300" distR="114300" simplePos="0" relativeHeight="251664384" behindDoc="0" locked="0" layoutInCell="1" allowOverlap="1" wp14:anchorId="002A1F7F" wp14:editId="6B0705A7">
                      <wp:simplePos x="0" y="0"/>
                      <wp:positionH relativeFrom="column">
                        <wp:posOffset>1949450</wp:posOffset>
                      </wp:positionH>
                      <wp:positionV relativeFrom="paragraph">
                        <wp:posOffset>1290955</wp:posOffset>
                      </wp:positionV>
                      <wp:extent cx="974090" cy="281305"/>
                      <wp:effectExtent l="0" t="0" r="0" b="0"/>
                      <wp:wrapNone/>
                      <wp:docPr id="136"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4090" cy="281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1066" w:rsidRDefault="00AC1066" w:rsidP="00AC1066">
                                  <w:pPr>
                                    <w:jc w:val="center"/>
                                    <w:rPr>
                                      <w:b/>
                                      <w:sz w:val="16"/>
                                      <w:szCs w:val="16"/>
                                    </w:rPr>
                                  </w:pPr>
                                  <w:r>
                                    <w:rPr>
                                      <w:b/>
                                      <w:sz w:val="16"/>
                                      <w:szCs w:val="16"/>
                                    </w:rPr>
                                    <w:t xml:space="preserve">Asistente </w:t>
                                  </w:r>
                                  <w:r>
                                    <w:rPr>
                                      <w:b/>
                                      <w:sz w:val="16"/>
                                      <w:szCs w:val="16"/>
                                    </w:rPr>
                                    <w:t>per 10,000 de locuitori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2A1F7F" id="Text Box 299" o:spid="_x0000_s1028" style="position:absolute;left:0;text-align:left;margin-left:153.5pt;margin-top:101.65pt;width:76.7pt;height:22.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" stroked="f">
                      <v:textbox inset="0,0,0,0">
                        <w:txbxContent>
                          <w:p w:rsidR="00AC1066" w:rsidRDefault="00AC1066" w:rsidP="00AC1066">
                            <w:pPr>
                              <w:jc w:val="center"/>
                              <w:rPr>
                                <w:b/>
                                <w:sz w:val="16"/>
                                <w:szCs w:val="16"/>
                              </w:rPr>
                            </w:pPr>
                            <w:r>
                              <w:rPr>
                                <w:b/>
                                <w:sz w:val="16"/>
                                <w:szCs w:val="16"/>
                              </w:rPr>
                              <w:t xml:space="preserve">Asistente </w:t>
                            </w:r>
                            <w:r>
                              <w:rPr>
                                <w:b/>
                                <w:sz w:val="16"/>
                                <w:szCs w:val="16"/>
                              </w:rPr>
                              <w:t>per 10,000 de locuitori</w:t>
                            </w:r>
                          </w:p>
                        </w:txbxContent>
                      </v:textbox>
                    </v:rect>
                  </w:pict>
                </mc:Fallback>
              </mc:AlternateContent>
            </w:r>
            <w:r w:rsidRPr="006A7F96">
              <w:rPr>
                <w:noProof/>
                <w:sz w:val="22"/>
                <w:lang w:eastAsia="en-US"/>
              </w:rPr>
              <w:drawing>
                <wp:inline distT="0" distB="0" distL="0" distR="0" wp14:anchorId="0770D28E" wp14:editId="0E4A4F41">
                  <wp:extent cx="2924175" cy="2243455"/>
                  <wp:effectExtent l="19050" t="0" r="9525" b="0"/>
                  <wp:docPr id="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 cstate="print"/>
                          <a:srcRect/>
                          <a:stretch>
                            <a:fillRect/>
                          </a:stretch>
                        </pic:blipFill>
                        <pic:spPr bwMode="auto">
                          <a:xfrm>
                            <a:off x="0" y="0"/>
                            <a:ext cx="2924175" cy="2243455"/>
                          </a:xfrm>
                          <a:prstGeom prst="rect">
                            <a:avLst/>
                          </a:prstGeom>
                          <a:noFill/>
                          <a:ln w="9525">
                            <a:noFill/>
                            <a:miter lim="800000"/>
                            <a:headEnd/>
                            <a:tailEnd/>
                          </a:ln>
                        </pic:spPr>
                      </pic:pic>
                    </a:graphicData>
                  </a:graphic>
                </wp:inline>
              </w:drawing>
            </w:r>
          </w:p>
        </w:tc>
      </w:tr>
      <w:tr w:rsidR="00AC1066" w:rsidRPr="006A7F96" w:rsidTr="0040775C">
        <w:tc>
          <w:tcPr>
            <w:tcW w:w="4788" w:type="dxa"/>
          </w:tcPr>
          <w:p w:rsidR="00AC1066" w:rsidRPr="006A7F96" w:rsidRDefault="00AC1066" w:rsidP="0040775C">
            <w:pPr>
              <w:jc w:val="center"/>
              <w:rPr>
                <w:i/>
                <w:iCs/>
                <w:sz w:val="18"/>
                <w:szCs w:val="18"/>
              </w:rPr>
            </w:pPr>
            <w:r w:rsidRPr="006A7F96">
              <w:rPr>
                <w:i/>
                <w:iCs/>
                <w:sz w:val="18"/>
                <w:szCs w:val="18"/>
              </w:rPr>
              <w:t>Sursă: Recensământ 2011 și județul Tulcea.</w:t>
            </w:r>
          </w:p>
        </w:tc>
        <w:tc>
          <w:tcPr>
            <w:tcW w:w="4788" w:type="dxa"/>
          </w:tcPr>
          <w:p w:rsidR="00AC1066" w:rsidRPr="006A7F96" w:rsidRDefault="00AC1066" w:rsidP="0040775C">
            <w:pPr>
              <w:keepNext/>
              <w:jc w:val="center"/>
              <w:rPr>
                <w:i/>
                <w:iCs/>
                <w:sz w:val="18"/>
                <w:szCs w:val="18"/>
              </w:rPr>
            </w:pPr>
            <w:r w:rsidRPr="006A7F96">
              <w:rPr>
                <w:i/>
                <w:iCs/>
                <w:sz w:val="18"/>
                <w:szCs w:val="18"/>
              </w:rPr>
              <w:t>Sursă: Recensământ 2011 și județul Tulcea.</w:t>
            </w:r>
          </w:p>
        </w:tc>
      </w:tr>
    </w:tbl>
    <w:p w:rsidR="00AC1066" w:rsidRPr="006A7F96" w:rsidRDefault="00AC1066" w:rsidP="00CF36B4">
      <w:pPr>
        <w:jc w:val="both"/>
        <w:rPr>
          <w:rFonts w:cs="Arial"/>
          <w:bCs/>
        </w:rPr>
      </w:pPr>
      <w:r w:rsidRPr="006A7F96">
        <w:rPr>
          <w:rFonts w:cs="Arial"/>
          <w:bCs/>
        </w:rPr>
        <w:t xml:space="preserve">Spitalul Județean de Urgență Tulcea este cea mai mare unitate medicală din județ, deservind o populație de peste 200.000 de locuitori cu servicii complexe de asistență medicală de specialitate, preventivă, curativă, de recuperare, de îngrijire în caz de graviditate și maternitate. Acest spital a fost înființat în anul 1974 și dispune în prezent de 14 secții, 6 compartimente, o unitate de primire a urgențelor – UPU/SMURD, un centru de hemodializă, 2 farmacii, un laborator de analize medicale, unul de radiologie și imagistică medicală, un serviciu de anatomie patologică, două dispensare TBC, un serviciu de medicină legală, un centru de diabet și boli de nutriție, 6 cabinete medicale, un ambulatoriu integrat (policlinică) cu 21 de cabinete și un centru de sănătate mintală. Multe dintre aceste servicii și specialități medicale sunt unice în context județean, mai ales după închiderea recentă a spitalelor din Babadag și Sulina, singura unitate spitalicească din județ care a rămas în funcțiune, cu excepția Spitalului Județean, fiind Spitalul Orășenesc Măcin. </w:t>
      </w:r>
    </w:p>
    <w:p w:rsidR="00AC1066" w:rsidRPr="006A7F96" w:rsidRDefault="00AC1066" w:rsidP="00CF36B4">
      <w:pPr>
        <w:jc w:val="both"/>
        <w:rPr>
          <w:rFonts w:cs="Arial"/>
          <w:bCs/>
        </w:rPr>
      </w:pPr>
      <w:r w:rsidRPr="006A7F96">
        <w:rPr>
          <w:rFonts w:cs="Arial"/>
          <w:bCs/>
        </w:rPr>
        <w:t xml:space="preserve">În prezent, Spitalul Județean de Urgență Tulcea are un număr de 735 de paturi, la care se adaugă 13 paturi pentru însoțitori și 76 de paturi de zi. Spitalul deservește anual peste 40.000 de pacienți, cu un număr de  1.226 de salariați, dintre care 184 de medici și 561 de salariați din categoria personalului medical mediu. Față de numărul de posturi normate, se constată un deficit de personal de peste 30%, pe fondul migrației cadrelor medicale către mediul privat sau către alte țări, din cauza nivelului foarte redus de salarizare și a lipsei dotărilor moderne cu echipamente și aparatură. În plus, dintre cei 184 de medici, 89 sunt rezidenți, iar o parte se află deja la vârsta de pensionare sau practică naveta din alte localități. În acest context, multe secții riscă să rămână curând fără niciun medic, ocuparea posturilor disponibile fiind dificilă. </w:t>
      </w:r>
    </w:p>
    <w:p w:rsidR="00AC1066" w:rsidRPr="006A7F96" w:rsidRDefault="00AC1066" w:rsidP="00CF36B4">
      <w:pPr>
        <w:jc w:val="both"/>
        <w:rPr>
          <w:rFonts w:cs="Arial"/>
          <w:bCs/>
        </w:rPr>
      </w:pPr>
      <w:r w:rsidRPr="006A7F96">
        <w:rPr>
          <w:rFonts w:cs="Arial"/>
          <w:bCs/>
        </w:rPr>
        <w:t xml:space="preserve">Având în vedere necesitățile din centrul Deltei, este necesară asigurarea unei infrastructuri de sănătate adaptată nevoilor în orașul Sulina. </w:t>
      </w:r>
    </w:p>
    <w:p w:rsidR="00AC1066" w:rsidRPr="006A7F96" w:rsidRDefault="00AC1066" w:rsidP="00CF36B4">
      <w:pPr>
        <w:jc w:val="both"/>
        <w:rPr>
          <w:rFonts w:cs="Arial"/>
          <w:bCs/>
        </w:rPr>
      </w:pPr>
      <w:r w:rsidRPr="006A7F96">
        <w:rPr>
          <w:rFonts w:cs="Arial"/>
          <w:bCs/>
        </w:rPr>
        <w:t xml:space="preserve">Calitatea precară a infrastructurii și serviciilor medicale se reflectă și în indicatorii demografici de la nivel județean: speranța de viață a populației județului era, în 2013, de doar 72,74 ani, față de 74,34 ani la nivel regional și 74,74 ani la nivel național. De asemenea, rata mortalității infantile era de 10,3 decese/1.000 de nou-născuți, peste media regională (10) și națională (8,5). În plus, ponderea populației vârstnice a crescut la nivel județean de la 17,1% în 2007, la 20,5% în 2013, iar morbiditatea populației este în creștere, mai ales pentru afecțiuni ale sistemului circulator, digestiv și oncologice, fenomen care va continua și va pune o presiune crescândă pe infrastructura medicală de la nivel local. </w:t>
      </w:r>
    </w:p>
    <w:p w:rsidR="00AC1066" w:rsidRPr="006A7F96" w:rsidRDefault="00AC1066" w:rsidP="00CF36B4">
      <w:pPr>
        <w:jc w:val="both"/>
      </w:pPr>
      <w:r w:rsidRPr="006A7F96">
        <w:t xml:space="preserve">Condițiile de mediu specifice din județul Tulcea, precum existența Deltei Dunării cu zone vaste acoperite de apă și mlaștini, acces redus la apă potabilă, izolare și acces dificil la servicii medicale specializate, populații </w:t>
      </w:r>
      <w:r w:rsidRPr="006A7F96">
        <w:lastRenderedPageBreak/>
        <w:t xml:space="preserve">mari de țânțari și păsări migratoare, obiceiul localnicilor de a bea apă nefiltrată din Dunăre și de a crește diferite animale domestice și păsări etc., influențează toate negativ morbiditatea și mortalitatea specifice prin boli digestive, diaree acută, gripă, antrax, holeră și boli legate de paraziți. În acest context, ratele morbidității pentru acest tip de boli sunt mult mai ridicate decât în alte zone din România. </w:t>
      </w:r>
    </w:p>
    <w:p w:rsidR="00AC1066" w:rsidRPr="006A7F96" w:rsidRDefault="00AC1066" w:rsidP="00CF36B4">
      <w:pPr>
        <w:jc w:val="both"/>
      </w:pPr>
      <w:r w:rsidRPr="006A7F96">
        <w:t xml:space="preserve">Direcția Județeană De Sănătate Publică este cel mai important actor în implementarea politicilor naționale pentru sănătate publică. Instituția efectuează aproximativ 1.000 de inspecții și numeroase acțiuni de prevenție și monitorizare. Peste 4.100 de copii au fost imunizați numai în 2014. </w:t>
      </w:r>
    </w:p>
    <w:p w:rsidR="00AC1066" w:rsidRPr="006A7F96" w:rsidRDefault="00AC1066" w:rsidP="00CF36B4">
      <w:pPr>
        <w:jc w:val="both"/>
      </w:pPr>
      <w:r w:rsidRPr="006A7F96">
        <w:t>Pe de altă parte, prevenirea transmiterii bolilor transmisibile și îmbunătățirea sănătății generale necesită măsuri comune ale diferitelor instituții de la nivel județean.</w:t>
      </w:r>
    </w:p>
    <w:p w:rsidR="00AC1066" w:rsidRPr="006A7F96" w:rsidRDefault="00AC1066" w:rsidP="00AC1066">
      <w:pPr>
        <w:pStyle w:val="DDCaption"/>
        <w:jc w:val="center"/>
        <w:rPr>
          <w:lang w:val="ro-RO"/>
        </w:rPr>
      </w:pPr>
      <w:bookmarkStart w:id="14" w:name="_Toc430333933"/>
    </w:p>
    <w:p w:rsidR="00AC1066" w:rsidRPr="006A7F96" w:rsidRDefault="00AC1066" w:rsidP="00AC1066">
      <w:pPr>
        <w:pStyle w:val="DDCaption"/>
        <w:jc w:val="center"/>
        <w:rPr>
          <w:lang w:val="ro-RO"/>
        </w:rPr>
      </w:pPr>
      <w:r w:rsidRPr="006A7F96">
        <w:rPr>
          <w:lang w:val="ro-RO"/>
        </w:rPr>
        <w:t>Figura 41:  Priorități referitoare la infrastructura de sănătate</w:t>
      </w:r>
      <w:bookmarkEnd w:id="14"/>
    </w:p>
    <w:p w:rsidR="00AC1066" w:rsidRPr="006A7F96" w:rsidRDefault="00AC1066" w:rsidP="00AC1066">
      <w:r w:rsidRPr="006A7F96">
        <w:rPr>
          <w:noProof/>
          <w:lang w:val="en-US"/>
        </w:rPr>
        <w:lastRenderedPageBreak/>
        <w:drawing>
          <wp:inline distT="0" distB="0" distL="0" distR="0" wp14:anchorId="53CF36E5" wp14:editId="4F79D791">
            <wp:extent cx="4861629" cy="6877050"/>
            <wp:effectExtent l="0" t="0" r="0" b="0"/>
            <wp:docPr id="44" name="Picture 41" descr="Description: inv sana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cription: inv sana ro"/>
                    <pic:cNvPicPr>
                      <a:picLocks noChangeAspect="1" noChangeArrowheads="1"/>
                    </pic:cNvPicPr>
                  </pic:nvPicPr>
                  <pic:blipFill>
                    <a:blip r:embed="rId17" cstate="print"/>
                    <a:srcRect/>
                    <a:stretch>
                      <a:fillRect/>
                    </a:stretch>
                  </pic:blipFill>
                  <pic:spPr bwMode="auto">
                    <a:xfrm>
                      <a:off x="0" y="0"/>
                      <a:ext cx="4862141" cy="6877774"/>
                    </a:xfrm>
                    <a:prstGeom prst="rect">
                      <a:avLst/>
                    </a:prstGeom>
                    <a:noFill/>
                    <a:ln w="9525">
                      <a:noFill/>
                      <a:miter lim="800000"/>
                      <a:headEnd/>
                      <a:tailEnd/>
                    </a:ln>
                  </pic:spPr>
                </pic:pic>
              </a:graphicData>
            </a:graphic>
          </wp:inline>
        </w:drawing>
      </w:r>
    </w:p>
    <w:p w:rsidR="00AC1066" w:rsidRPr="006A7F96" w:rsidRDefault="00AC1066" w:rsidP="00AC1066">
      <w:pPr>
        <w:rPr>
          <w:sz w:val="18"/>
          <w:szCs w:val="18"/>
        </w:rPr>
      </w:pPr>
      <w:r w:rsidRPr="006A7F96">
        <w:rPr>
          <w:rFonts w:cs="Arial"/>
          <w:bCs/>
          <w:i/>
          <w:iCs/>
          <w:sz w:val="18"/>
          <w:szCs w:val="18"/>
        </w:rPr>
        <w:t>Sursa: Ghid de investiții pentru proiecte locale: Drumuri comunale și infrastructură socială, Grupul Banca Mondială</w:t>
      </w:r>
    </w:p>
    <w:p w:rsidR="00AC1066" w:rsidRPr="006A7F96" w:rsidRDefault="00AC1066" w:rsidP="00AC1066">
      <w:pPr>
        <w:pStyle w:val="DDsubSect"/>
        <w:rPr>
          <w:lang w:val="ro-RO"/>
        </w:rPr>
      </w:pPr>
    </w:p>
    <w:p w:rsidR="00AC1066" w:rsidRDefault="00AC1066" w:rsidP="00AC1066">
      <w:pPr>
        <w:pStyle w:val="DDsubSect"/>
        <w:rPr>
          <w:lang w:val="ro-RO"/>
        </w:rPr>
      </w:pPr>
    </w:p>
    <w:p w:rsidR="00CF36B4" w:rsidRDefault="00CF36B4" w:rsidP="00AC1066">
      <w:pPr>
        <w:pStyle w:val="DDsubSect"/>
        <w:rPr>
          <w:lang w:val="ro-RO"/>
        </w:rPr>
      </w:pPr>
    </w:p>
    <w:p w:rsidR="00CF36B4" w:rsidRDefault="00CF36B4" w:rsidP="00AC1066">
      <w:pPr>
        <w:pStyle w:val="DDsubSect"/>
        <w:rPr>
          <w:lang w:val="ro-RO"/>
        </w:rPr>
      </w:pPr>
    </w:p>
    <w:p w:rsidR="00CF36B4" w:rsidRDefault="00CF36B4" w:rsidP="00AC1066">
      <w:pPr>
        <w:pStyle w:val="DDsubSect"/>
        <w:rPr>
          <w:lang w:val="ro-RO"/>
        </w:rPr>
      </w:pPr>
    </w:p>
    <w:p w:rsidR="00CF36B4" w:rsidRPr="006A7F96" w:rsidRDefault="00CF36B4" w:rsidP="00AC1066">
      <w:pPr>
        <w:pStyle w:val="DDsubSect"/>
        <w:rPr>
          <w:lang w:val="ro-RO"/>
        </w:rPr>
      </w:pPr>
    </w:p>
    <w:p w:rsidR="00AC1066" w:rsidRPr="006A7F96" w:rsidRDefault="00AC1066" w:rsidP="00AC1066">
      <w:pPr>
        <w:pStyle w:val="DDsubSect"/>
        <w:rPr>
          <w:lang w:val="ro-RO"/>
        </w:rPr>
      </w:pPr>
      <w:r w:rsidRPr="006A7F96">
        <w:rPr>
          <w:lang w:val="ro-RO"/>
        </w:rPr>
        <w:lastRenderedPageBreak/>
        <w:t>Educație</w:t>
      </w:r>
    </w:p>
    <w:p w:rsidR="00AC1066" w:rsidRPr="006A7F96" w:rsidRDefault="00AC1066" w:rsidP="00AC1066">
      <w:pPr>
        <w:rPr>
          <w:lang w:eastAsia="en-GB"/>
        </w:rPr>
      </w:pPr>
      <w:r w:rsidRPr="006A7F96">
        <w:rPr>
          <w:lang w:eastAsia="en-GB"/>
        </w:rPr>
        <w:t xml:space="preserve">Populația școlară totală era, la nivelul anului 2013, de 28.573 de persoane, în scădere cu 14,7% față de anul 2007, pe fondul scăderii drastice a ratei natalității și a migrației interne și externe. </w:t>
      </w:r>
    </w:p>
    <w:p w:rsidR="00AC1066" w:rsidRPr="006A7F96" w:rsidRDefault="00AC1066" w:rsidP="00AC1066">
      <w:pPr>
        <w:pStyle w:val="DDCaption"/>
        <w:jc w:val="center"/>
        <w:rPr>
          <w:lang w:val="ro-RO"/>
        </w:rPr>
      </w:pPr>
      <w:bookmarkStart w:id="15" w:name="_Toc430333934"/>
      <w:r w:rsidRPr="006A7F96">
        <w:rPr>
          <w:lang w:val="ro-RO"/>
        </w:rPr>
        <w:t xml:space="preserve">Figura 42: </w:t>
      </w:r>
      <w:r w:rsidRPr="006A7F96">
        <w:rPr>
          <w:b/>
          <w:lang w:val="ro-RO"/>
        </w:rPr>
        <w:t xml:space="preserve"> </w:t>
      </w:r>
      <w:r w:rsidRPr="006A7F96">
        <w:rPr>
          <w:lang w:val="ro-RO"/>
        </w:rPr>
        <w:t>Populația școlară pe niveluri de educație</w:t>
      </w:r>
      <w:bookmarkEnd w:id="15"/>
    </w:p>
    <w:p w:rsidR="00AC1066" w:rsidRPr="006A7F96" w:rsidRDefault="00AC1066" w:rsidP="00AC1066">
      <w:pPr>
        <w:rPr>
          <w:lang w:eastAsia="en-GB"/>
        </w:rPr>
      </w:pPr>
      <w:r w:rsidRPr="006A7F96">
        <w:rPr>
          <w:noProof/>
          <w:lang w:val="en-US"/>
        </w:rPr>
        <w:drawing>
          <wp:inline distT="0" distB="0" distL="0" distR="0" wp14:anchorId="104FB07E" wp14:editId="5C328AF1">
            <wp:extent cx="4827270" cy="2349500"/>
            <wp:effectExtent l="0" t="0" r="0" b="0"/>
            <wp:docPr id="45" name="Object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C1066" w:rsidRPr="006A7F96" w:rsidRDefault="00AC1066" w:rsidP="00CF36B4">
      <w:pPr>
        <w:jc w:val="both"/>
      </w:pPr>
      <w:r w:rsidRPr="006A7F96">
        <w:rPr>
          <w:lang w:eastAsia="en-GB"/>
        </w:rPr>
        <w:t>Singurul nivel de studii pentru care s-a înregistrat o creștere a numărului de elevi este cel postliceal și de maiștri, o alternativă pentru cei care nu au reușit să promoveze examenul de bacalaureat. Rata de promovabilitate la bacalaureat a fost, în 2014, de doar 58,8%. La nivelul liceelor tehnologice, în general, mai puțin de 20 % din elevi au promovat bacalaureatul. În ceea ce privește numărul de cadre didactice, acesta se situa, în anul 2013, la 2.000, în scădere cu 11,8% față de 2007, pe fondul scăderii numărului de elevi și a restructurării rețelei școlare.</w:t>
      </w:r>
    </w:p>
    <w:p w:rsidR="00AC1066" w:rsidRPr="006A7F96" w:rsidRDefault="00AC1066" w:rsidP="00CF36B4">
      <w:pPr>
        <w:jc w:val="both"/>
        <w:rPr>
          <w:rFonts w:cs="Arial"/>
          <w:bCs/>
        </w:rPr>
      </w:pPr>
      <w:r w:rsidRPr="006A7F96">
        <w:rPr>
          <w:rFonts w:cs="Arial"/>
          <w:bCs/>
        </w:rPr>
        <w:t xml:space="preserve">În anul 2012, județul Tulcea a înregistrat o rată a abandonului școlar pentru învățământul liceal și profesional de 3,3%, peste media regională (3,2%) și națională (2,9%), o situație similară fiind înregistrată și în cazul învățământului primar. Cauzele abandonului școlar sunt multiple și derivă din izolarea geografică a unor localități, restructurarea rețelei de unități școlare ca urmare a scăderii dramatice a natalității, numărul mare de familii care trăiesc în sărăcie, dar și excluziunea de la educație a unor grupuri vulnerabile, precum romii. Potrivit estimărilor Băncii Mondiale, riscul de sărăcie afectează circa 25% din populația județului, unul dintre cele mai ridicate niveluri din regiunea Sud-Est, după Vrancea și Galați. Printre comunitățile cu cele mai scăzute valori (sub 50) ale Indicelui Dezvoltării Umane Locale (IDUL, Banca Mondială), se numără și cele din teritoriul ITI: Chilia Veche, Beștepe, Valea Nucarilor, Crișan, Ceamurlia de Jos, Murighiol etc. Ponderea populației cu studii superioare este, pe de altă parte, cea mai redusă de la nivelul întregii regiuni, depășind 10% doar în cazul municipiului Tulcea. Rata analfabetismului încă atinge cote îngrijorătoare (de peste 5-10%) în localități precum Babadag și Chilia Veche.  </w:t>
      </w:r>
    </w:p>
    <w:p w:rsidR="00AC1066" w:rsidRPr="006A7F96" w:rsidRDefault="00AC1066" w:rsidP="00CF36B4">
      <w:pPr>
        <w:jc w:val="both"/>
        <w:rPr>
          <w:rFonts w:cs="Arial"/>
          <w:bCs/>
        </w:rPr>
      </w:pPr>
    </w:p>
    <w:p w:rsidR="00AC1066" w:rsidRPr="006A7F96" w:rsidRDefault="00AC1066" w:rsidP="00AC1066">
      <w:pPr>
        <w:rPr>
          <w:rFonts w:cs="Arial"/>
          <w:bCs/>
        </w:rPr>
      </w:pPr>
    </w:p>
    <w:p w:rsidR="00AC1066" w:rsidRPr="006A7F96" w:rsidRDefault="00AC1066" w:rsidP="00AC1066">
      <w:pPr>
        <w:rPr>
          <w:rFonts w:cs="Arial"/>
          <w:bCs/>
        </w:rPr>
      </w:pPr>
    </w:p>
    <w:p w:rsidR="00AC1066" w:rsidRPr="006A7F96" w:rsidRDefault="00AC1066" w:rsidP="00AC1066">
      <w:pPr>
        <w:rPr>
          <w:rFonts w:cs="Arial"/>
          <w:bCs/>
        </w:rPr>
      </w:pPr>
    </w:p>
    <w:p w:rsidR="00AC1066" w:rsidRDefault="00AC1066" w:rsidP="00AC1066">
      <w:pPr>
        <w:rPr>
          <w:rFonts w:cs="Arial"/>
          <w:bCs/>
        </w:rPr>
      </w:pPr>
    </w:p>
    <w:p w:rsidR="00CF36B4" w:rsidRPr="006A7F96" w:rsidRDefault="00CF36B4" w:rsidP="00AC1066">
      <w:pPr>
        <w:rPr>
          <w:rFonts w:cs="Arial"/>
          <w:bCs/>
        </w:rPr>
      </w:pPr>
    </w:p>
    <w:p w:rsidR="00AC1066" w:rsidRPr="006A7F96" w:rsidRDefault="00AC1066" w:rsidP="00AC1066">
      <w:pPr>
        <w:rPr>
          <w:rFonts w:cs="Arial"/>
          <w:bCs/>
        </w:rPr>
      </w:pPr>
    </w:p>
    <w:p w:rsidR="00AC1066" w:rsidRPr="006A7F96" w:rsidRDefault="00AC1066" w:rsidP="00AC1066">
      <w:pPr>
        <w:pStyle w:val="DDCaption"/>
        <w:jc w:val="center"/>
        <w:rPr>
          <w:lang w:val="ro-RO"/>
        </w:rPr>
      </w:pPr>
      <w:bookmarkStart w:id="16" w:name="_Toc430333935"/>
      <w:r w:rsidRPr="006A7F96">
        <w:rPr>
          <w:lang w:val="ro-RO"/>
        </w:rPr>
        <w:lastRenderedPageBreak/>
        <w:t>Figura 43:  Infrastructura de educație</w:t>
      </w:r>
      <w:bookmarkEnd w:id="16"/>
    </w:p>
    <w:p w:rsidR="00AC1066" w:rsidRPr="006A7F96" w:rsidRDefault="00AC1066" w:rsidP="00AC1066">
      <w:pPr>
        <w:jc w:val="center"/>
      </w:pPr>
      <w:r w:rsidRPr="006A7F96">
        <w:rPr>
          <w:noProof/>
          <w:lang w:val="en-US"/>
        </w:rPr>
        <w:drawing>
          <wp:inline distT="0" distB="0" distL="0" distR="0" wp14:anchorId="1A093019" wp14:editId="6D86DBD0">
            <wp:extent cx="4572000" cy="6485890"/>
            <wp:effectExtent l="19050" t="0" r="0" b="0"/>
            <wp:docPr id="46" name="Picture 43" descr="Description: educ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ption: educ ro"/>
                    <pic:cNvPicPr>
                      <a:picLocks noChangeAspect="1" noChangeArrowheads="1"/>
                    </pic:cNvPicPr>
                  </pic:nvPicPr>
                  <pic:blipFill>
                    <a:blip r:embed="rId19" cstate="print"/>
                    <a:srcRect/>
                    <a:stretch>
                      <a:fillRect/>
                    </a:stretch>
                  </pic:blipFill>
                  <pic:spPr bwMode="auto">
                    <a:xfrm>
                      <a:off x="0" y="0"/>
                      <a:ext cx="4572000" cy="6485890"/>
                    </a:xfrm>
                    <a:prstGeom prst="rect">
                      <a:avLst/>
                    </a:prstGeom>
                    <a:noFill/>
                    <a:ln w="9525">
                      <a:noFill/>
                      <a:miter lim="800000"/>
                      <a:headEnd/>
                      <a:tailEnd/>
                    </a:ln>
                  </pic:spPr>
                </pic:pic>
              </a:graphicData>
            </a:graphic>
          </wp:inline>
        </w:drawing>
      </w:r>
    </w:p>
    <w:p w:rsidR="00AC1066" w:rsidRPr="006A7F96" w:rsidRDefault="00AC1066" w:rsidP="00AC1066">
      <w:pPr>
        <w:rPr>
          <w:i/>
          <w:iCs/>
          <w:sz w:val="18"/>
          <w:szCs w:val="18"/>
        </w:rPr>
      </w:pPr>
      <w:r w:rsidRPr="006A7F96">
        <w:rPr>
          <w:rFonts w:cs="Arial"/>
          <w:bCs/>
          <w:i/>
          <w:iCs/>
          <w:sz w:val="18"/>
          <w:szCs w:val="18"/>
        </w:rPr>
        <w:t xml:space="preserve">Sursa: Ghid de investiții pentru proiecte locale: Drumuri comunale și infrastructură socială, Grupul Banca Mondială </w:t>
      </w:r>
    </w:p>
    <w:p w:rsidR="00AC1066" w:rsidRPr="006A7F96" w:rsidRDefault="00AC1066" w:rsidP="00CF36B4">
      <w:pPr>
        <w:jc w:val="both"/>
        <w:rPr>
          <w:rFonts w:cs="Arial"/>
          <w:bCs/>
        </w:rPr>
      </w:pPr>
      <w:r w:rsidRPr="006A7F96">
        <w:rPr>
          <w:rFonts w:cs="Arial"/>
          <w:bCs/>
        </w:rPr>
        <w:t xml:space="preserve">În anul 2014, dintre cele 140 de unități de învățământ din județ, 6 nu au obținut autorizația sanitară de funcționare, cauzele fiind lipsa apei, a unor grupuri sanitare corespunzătoare și starea avansată de degradare a clădirilor, în condițiile în care unele clădiri au fost ridicate  în urmă cu peste 100 de ani și prezintă pericol pentru elevi și cadrele didactice. În plus, cele mai multe unități de învățământ nu dispun de sisteme de încălzire și de instalații moderne, de lucrări de reabilitare termică, de finisaje interioare și exterioare, de înlocuire a șarpantelor/acoperișurilor și de tâmplărie termoizolantă, de împrejmuiri, de suficiente spații pentru activități educaționale, de laboratoare, ateliere școlare, cantine și săli de masă, internate, săli de sport, locuri de joacă și nici de mobilier și Material didactic corespunzător, ceea ce afectează calitatea actului didactic. În pofida scăderii natalității, unele localități urbane se confruntă cu un deficit de locuri în grădinițe și creșe, pe fondul creșterii gradului de cuprindere a copiilor în învățământul preșcolar. Pe de altă parte, </w:t>
      </w:r>
      <w:r w:rsidRPr="006A7F96">
        <w:rPr>
          <w:rFonts w:cs="Arial"/>
          <w:bCs/>
        </w:rPr>
        <w:lastRenderedPageBreak/>
        <w:t xml:space="preserve">capacitatea unor grădinițe este subutilizată, acestea putând fi transformate în creșe. Nu în ultimul rând, facilitățile pentru programele after-school sunt încă precare în majoritatea localităților, deși există suficiente cereri pentru acestea. </w:t>
      </w:r>
    </w:p>
    <w:p w:rsidR="00AC1066" w:rsidRPr="006A7F96" w:rsidRDefault="00AC1066" w:rsidP="00CF36B4">
      <w:pPr>
        <w:jc w:val="both"/>
        <w:rPr>
          <w:rFonts w:cs="Arial"/>
          <w:bCs/>
        </w:rPr>
      </w:pPr>
      <w:r w:rsidRPr="006A7F96">
        <w:t xml:space="preserve">Problemele cu care se confruntă sistemul de educație la nivel local, care afectează cu precădere localitățile din centrul Deltei, relevă o serie de particularități precum izolarea școlilor și </w:t>
      </w:r>
      <w:r w:rsidRPr="006A7F96">
        <w:rPr>
          <w:rFonts w:eastAsia="Calibri" w:cs="Times New Roman"/>
        </w:rPr>
        <w:t>accesul dificil în special pe apă</w:t>
      </w:r>
      <w:r w:rsidRPr="006A7F96">
        <w:rPr>
          <w:rFonts w:cs="Arial"/>
          <w:bCs/>
        </w:rPr>
        <w:t xml:space="preserve">, </w:t>
      </w:r>
      <w:r w:rsidRPr="006A7F96">
        <w:rPr>
          <w:rFonts w:eastAsia="Calibri" w:cs="Times New Roman"/>
        </w:rPr>
        <w:t>p</w:t>
      </w:r>
      <w:r w:rsidRPr="006A7F96">
        <w:t>ă</w:t>
      </w:r>
      <w:r w:rsidRPr="006A7F96">
        <w:rPr>
          <w:rFonts w:eastAsia="Calibri" w:cs="Times New Roman"/>
        </w:rPr>
        <w:t>r</w:t>
      </w:r>
      <w:r w:rsidRPr="006A7F96">
        <w:t>ă</w:t>
      </w:r>
      <w:r w:rsidRPr="006A7F96">
        <w:rPr>
          <w:rFonts w:eastAsia="Calibri" w:cs="Times New Roman"/>
        </w:rPr>
        <w:t>sirea timpurie a zonei de c</w:t>
      </w:r>
      <w:r w:rsidRPr="006A7F96">
        <w:t>ă</w:t>
      </w:r>
      <w:r w:rsidRPr="006A7F96">
        <w:rPr>
          <w:rFonts w:eastAsia="Calibri" w:cs="Times New Roman"/>
        </w:rPr>
        <w:t>tre tineri</w:t>
      </w:r>
      <w:r w:rsidRPr="006A7F96">
        <w:rPr>
          <w:rFonts w:cs="Arial"/>
          <w:bCs/>
        </w:rPr>
        <w:t xml:space="preserve">, </w:t>
      </w:r>
      <w:r w:rsidRPr="006A7F96">
        <w:rPr>
          <w:rFonts w:eastAsia="Calibri" w:cs="Times New Roman"/>
        </w:rPr>
        <w:t>lipsa cadrelor didactice preg</w:t>
      </w:r>
      <w:r w:rsidRPr="006A7F96">
        <w:t>ă</w:t>
      </w:r>
      <w:r w:rsidRPr="006A7F96">
        <w:rPr>
          <w:rFonts w:eastAsia="Calibri" w:cs="Times New Roman"/>
        </w:rPr>
        <w:t xml:space="preserve">tite/a personalului specializat grevate pe fondul </w:t>
      </w:r>
      <w:r w:rsidRPr="006A7F96">
        <w:rPr>
          <w:rFonts w:cs="Arial"/>
          <w:bCs/>
        </w:rPr>
        <w:t xml:space="preserve">unor </w:t>
      </w:r>
      <w:r w:rsidRPr="006A7F96">
        <w:rPr>
          <w:rFonts w:eastAsia="Calibri" w:cs="Times New Roman"/>
        </w:rPr>
        <w:t>proiecte ce au vizat mai mult cadrul n</w:t>
      </w:r>
      <w:r w:rsidRPr="006A7F96">
        <w:t>aț</w:t>
      </w:r>
      <w:r w:rsidRPr="006A7F96">
        <w:rPr>
          <w:rFonts w:eastAsia="Calibri" w:cs="Times New Roman"/>
        </w:rPr>
        <w:t xml:space="preserve">ional formal cu </w:t>
      </w:r>
      <w:r w:rsidRPr="006A7F96">
        <w:t>î</w:t>
      </w:r>
      <w:r w:rsidRPr="006A7F96">
        <w:rPr>
          <w:rFonts w:eastAsia="Calibri" w:cs="Times New Roman"/>
        </w:rPr>
        <w:t>ncerc</w:t>
      </w:r>
      <w:r w:rsidRPr="006A7F96">
        <w:t>ă</w:t>
      </w:r>
      <w:r w:rsidRPr="006A7F96">
        <w:rPr>
          <w:rFonts w:eastAsia="Calibri" w:cs="Times New Roman"/>
        </w:rPr>
        <w:t>ri de adaptare a soluțiilor alternative identificate ce nu au fost coerente, rezultând într-o astfel într-o lipsă de continuitate a interven</w:t>
      </w:r>
      <w:r w:rsidRPr="006A7F96">
        <w:t>ț</w:t>
      </w:r>
      <w:r w:rsidRPr="006A7F96">
        <w:rPr>
          <w:rFonts w:eastAsia="Calibri" w:cs="Times New Roman"/>
        </w:rPr>
        <w:t>iilor.</w:t>
      </w:r>
    </w:p>
    <w:p w:rsidR="00AC1066" w:rsidRPr="006A7F96" w:rsidRDefault="00AC1066" w:rsidP="00AC1066">
      <w:pPr>
        <w:pStyle w:val="DDCaption"/>
        <w:jc w:val="center"/>
        <w:rPr>
          <w:lang w:val="ro-RO"/>
        </w:rPr>
      </w:pPr>
      <w:bookmarkStart w:id="17" w:name="_Toc430333936"/>
      <w:r w:rsidRPr="006A7F96">
        <w:rPr>
          <w:lang w:val="ro-RO"/>
        </w:rPr>
        <w:t>Figura 44:  Priorități privind infrastructura de educație</w:t>
      </w:r>
      <w:bookmarkEnd w:id="17"/>
    </w:p>
    <w:p w:rsidR="00AC1066" w:rsidRPr="006A7F96" w:rsidRDefault="00AC1066" w:rsidP="00AC1066">
      <w:pPr>
        <w:jc w:val="center"/>
      </w:pPr>
      <w:r w:rsidRPr="006A7F96">
        <w:rPr>
          <w:noProof/>
          <w:lang w:val="en-US"/>
        </w:rPr>
        <w:drawing>
          <wp:inline distT="0" distB="0" distL="0" distR="0" wp14:anchorId="69ABA542" wp14:editId="78EFC7FD">
            <wp:extent cx="4688840" cy="5837555"/>
            <wp:effectExtent l="19050" t="0" r="0" b="0"/>
            <wp:docPr id="47" name="Picture 44" descr="Description: inv educ 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scription: inv educ ro"/>
                    <pic:cNvPicPr>
                      <a:picLocks noChangeAspect="1" noChangeArrowheads="1"/>
                    </pic:cNvPicPr>
                  </pic:nvPicPr>
                  <pic:blipFill>
                    <a:blip r:embed="rId20" cstate="print"/>
                    <a:srcRect/>
                    <a:stretch>
                      <a:fillRect/>
                    </a:stretch>
                  </pic:blipFill>
                  <pic:spPr bwMode="auto">
                    <a:xfrm>
                      <a:off x="0" y="0"/>
                      <a:ext cx="4688840" cy="5837555"/>
                    </a:xfrm>
                    <a:prstGeom prst="rect">
                      <a:avLst/>
                    </a:prstGeom>
                    <a:noFill/>
                    <a:ln w="9525">
                      <a:noFill/>
                      <a:miter lim="800000"/>
                      <a:headEnd/>
                      <a:tailEnd/>
                    </a:ln>
                  </pic:spPr>
                </pic:pic>
              </a:graphicData>
            </a:graphic>
          </wp:inline>
        </w:drawing>
      </w:r>
    </w:p>
    <w:p w:rsidR="00AC1066" w:rsidRPr="006A7F96" w:rsidRDefault="00AC1066" w:rsidP="00AC1066">
      <w:pPr>
        <w:rPr>
          <w:i/>
          <w:iCs/>
          <w:sz w:val="18"/>
          <w:szCs w:val="18"/>
        </w:rPr>
      </w:pPr>
      <w:r w:rsidRPr="006A7F96">
        <w:rPr>
          <w:rFonts w:cs="Arial"/>
          <w:bCs/>
          <w:i/>
          <w:iCs/>
          <w:sz w:val="18"/>
          <w:szCs w:val="18"/>
        </w:rPr>
        <w:t>Sursa: Ghid de investiții pentru proiecte locale: Drumuri comunale și infrastructură socială, Grupul Banca Mondială.</w:t>
      </w:r>
    </w:p>
    <w:p w:rsidR="00CF36B4" w:rsidRDefault="00CF36B4" w:rsidP="00AC1066">
      <w:pPr>
        <w:pStyle w:val="DDsubSect"/>
        <w:rPr>
          <w:lang w:val="ro-RO"/>
        </w:rPr>
      </w:pPr>
    </w:p>
    <w:p w:rsidR="00CF36B4" w:rsidRDefault="00CF36B4" w:rsidP="00AC1066">
      <w:pPr>
        <w:pStyle w:val="DDsubSect"/>
        <w:rPr>
          <w:lang w:val="ro-RO"/>
        </w:rPr>
      </w:pPr>
    </w:p>
    <w:p w:rsidR="00CF36B4" w:rsidRDefault="00CF36B4" w:rsidP="00AC1066">
      <w:pPr>
        <w:pStyle w:val="DDsubSect"/>
        <w:rPr>
          <w:lang w:val="ro-RO"/>
        </w:rPr>
      </w:pPr>
    </w:p>
    <w:p w:rsidR="00AC1066" w:rsidRPr="006A7F96" w:rsidRDefault="00AC1066" w:rsidP="00AC1066">
      <w:pPr>
        <w:pStyle w:val="DDsubSect"/>
        <w:rPr>
          <w:lang w:val="ro-RO"/>
        </w:rPr>
      </w:pPr>
      <w:r w:rsidRPr="006A7F96">
        <w:rPr>
          <w:lang w:val="ro-RO"/>
        </w:rPr>
        <w:lastRenderedPageBreak/>
        <w:t>Incluziune și protecție socială</w:t>
      </w:r>
    </w:p>
    <w:p w:rsidR="00AC1066" w:rsidRPr="006A7F96" w:rsidRDefault="00AC1066" w:rsidP="00CF36B4">
      <w:pPr>
        <w:jc w:val="both"/>
        <w:rPr>
          <w:rFonts w:eastAsia="Calibri"/>
        </w:rPr>
      </w:pPr>
      <w:r w:rsidRPr="006A7F96">
        <w:rPr>
          <w:rFonts w:eastAsia="Calibri"/>
        </w:rPr>
        <w:t>Comunitățile mici și mai degrabă izolate constituie specificul ariei Deltei Dunării. Cele patru orașe din zonă fac parte dintre cele mai mici orașe din țară (sub 10.000 locuitori),</w:t>
      </w:r>
      <w:r w:rsidRPr="006A7F96">
        <w:rPr>
          <w:rFonts w:eastAsia="Calibri"/>
          <w:vertAlign w:val="superscript"/>
        </w:rPr>
        <w:footnoteReference w:id="7"/>
      </w:r>
      <w:r w:rsidRPr="006A7F96">
        <w:rPr>
          <w:rFonts w:eastAsia="Calibri"/>
        </w:rPr>
        <w:t xml:space="preserve"> iar 19 dintre cele 33 de comune au mai puțin de 2.500 locuitori.</w:t>
      </w:r>
      <w:r w:rsidRPr="006A7F96">
        <w:rPr>
          <w:rFonts w:eastAsia="Calibri"/>
          <w:vertAlign w:val="superscript"/>
        </w:rPr>
        <w:footnoteReference w:id="8"/>
      </w:r>
      <w:r w:rsidRPr="006A7F96">
        <w:rPr>
          <w:rFonts w:eastAsia="Calibri"/>
        </w:rPr>
        <w:t xml:space="preserve"> Cu alte cuvinte, așa cum se arată în </w:t>
      </w:r>
      <w:r w:rsidRPr="006A7F96">
        <w:rPr>
          <w:rFonts w:eastAsia="Calibri"/>
          <w:i/>
        </w:rPr>
        <w:t>Strategia națională privind incluziunea socială și reducerea sărăciei în perioada 2015-2020</w:t>
      </w:r>
      <w:r w:rsidRPr="006A7F96">
        <w:rPr>
          <w:rFonts w:eastAsia="Calibri"/>
        </w:rPr>
        <w:t>,</w:t>
      </w:r>
      <w:r w:rsidRPr="006A7F96">
        <w:rPr>
          <w:rFonts w:eastAsia="Calibri"/>
          <w:vertAlign w:val="superscript"/>
        </w:rPr>
        <w:footnoteReference w:id="9"/>
      </w:r>
      <w:r w:rsidRPr="006A7F96">
        <w:rPr>
          <w:rFonts w:eastAsia="Calibri"/>
        </w:rPr>
        <w:t xml:space="preserve"> atât localitățile urbane, cât și cele rurale din Delta Dunării fac parte dintre comunitățile cele mai dezavantajate din țară cu privire la: bugetul local (dependență ridicată față de transferurile de la bugetul de stat), dotarea cu infrastructură de bază</w:t>
      </w:r>
      <w:r w:rsidRPr="006A7F96">
        <w:rPr>
          <w:rFonts w:eastAsia="Calibri"/>
          <w:vertAlign w:val="superscript"/>
        </w:rPr>
        <w:footnoteReference w:id="10"/>
      </w:r>
      <w:r w:rsidRPr="006A7F96">
        <w:rPr>
          <w:rFonts w:eastAsia="Calibri"/>
        </w:rPr>
        <w:t>, care este deficitară, nivelul de educație a populației în vârstă de muncă, ce este relativ scăzut, și rata de ocupare a forței de muncă în sectoarele non-agricole, relativ redusă. La acestea se adaugă izolarea geografică. Nivelul de conectare a localităților la centrele urbane din regiune este foarte redus, în Deltă fiind înregistrate o serie de localități fără acces rutier, precum și localități aflate la mai mult de 60 minute față de cel mai apropiat centru urban</w:t>
      </w:r>
      <w:r w:rsidRPr="006A7F96">
        <w:rPr>
          <w:rFonts w:eastAsia="Calibri"/>
          <w:vertAlign w:val="superscript"/>
        </w:rPr>
        <w:footnoteReference w:id="11"/>
      </w:r>
      <w:r w:rsidRPr="006A7F96">
        <w:rPr>
          <w:rFonts w:eastAsia="Calibri"/>
        </w:rPr>
        <w:t>. Astfel, la nevoile de dezvoltare în privința infrastructurii de bază (care caracterizează o parte importantă a comunităților rurale și urbane mici din România) se adaugă nevoi specifice legate, în special, de accesul și dezvoltarea serviciilor sociale, mai precis de sprijinul oferit vârstnicilor în activitatea zilnică (îngrijire la domiciliu) și acces mai bun la educație de calitate (în special la educația timpurie a copilului și învățământul primar pentru copiii mai mici) deoarece, în multe din aceste sate, școlile au fost închise sau sunt subfinanțate din cauza numărului mic de elevi.</w:t>
      </w:r>
    </w:p>
    <w:p w:rsidR="00AC1066" w:rsidRPr="006A7F96" w:rsidRDefault="00AC1066" w:rsidP="00CF36B4">
      <w:pPr>
        <w:jc w:val="both"/>
        <w:rPr>
          <w:rFonts w:cs="Arial"/>
          <w:bCs/>
        </w:rPr>
      </w:pPr>
      <w:r w:rsidRPr="006A7F96">
        <w:rPr>
          <w:rFonts w:cs="Arial"/>
          <w:bCs/>
        </w:rPr>
        <w:t xml:space="preserve">Potrivit estimărilor Băncii Mondiale, riscul de sărăcie afectează circa 25% din populația județului Tulcea, unul dintre cele mai ridicate niveluri din regiunea Sud-Est, după Vrancea și Galați. </w:t>
      </w:r>
      <w:r w:rsidRPr="006A7F96">
        <w:rPr>
          <w:rFonts w:eastAsia="Calibri"/>
        </w:rPr>
        <w:t>Datele privind sărăcia monetară a gospodăriilor din Deltă arată că, în context național, locuitorii Deltei au un risc ridicat de sărăcie relativă</w:t>
      </w:r>
      <w:r w:rsidRPr="006A7F96">
        <w:rPr>
          <w:rFonts w:eastAsia="Calibri"/>
          <w:vertAlign w:val="superscript"/>
        </w:rPr>
        <w:footnoteReference w:id="12"/>
      </w:r>
      <w:r w:rsidRPr="006A7F96">
        <w:rPr>
          <w:rFonts w:eastAsia="Calibri"/>
        </w:rPr>
        <w:t>. Ratele de sărăcie relativă sunt deosebit de ridicate în orașele Babadag și Isaccea, urmate de Sulina. Între comunele din Deltă, Mihai Viteazu, din județul Constanța, și C.A. Rosetti, Ceatalchioi și Mihai Bravu, din județul Tulcea, se află printre comunele cu cele mai mari rate de sărăcie relativă din țară. În plus, alte 13 comune au, de asemenea, rate de sărăcie peste media națională în rural. Cu alte cuvinte, în peste jumătate din comunele din Deltă, populația se confruntă cu un risc considerabil de sărăcie monetară.</w:t>
      </w:r>
      <w:r w:rsidRPr="006A7F96">
        <w:rPr>
          <w:rFonts w:cs="Arial"/>
          <w:bCs/>
        </w:rPr>
        <w:t xml:space="preserve"> </w:t>
      </w:r>
    </w:p>
    <w:p w:rsidR="00AC1066" w:rsidRDefault="00AC1066" w:rsidP="00CF36B4">
      <w:pPr>
        <w:jc w:val="both"/>
        <w:rPr>
          <w:rFonts w:cs="Arial"/>
          <w:bCs/>
        </w:rPr>
      </w:pPr>
      <w:r w:rsidRPr="006A7F96">
        <w:rPr>
          <w:rFonts w:cs="Arial"/>
          <w:bCs/>
        </w:rPr>
        <w:t xml:space="preserve">Printre comunitățile cu cele mai scăzute valori (sub 50) ale Indicelui Dezvoltării Umane Locale (IDUL, Banca Mondială), se numără și cele din teritoriul ITI: Chilia Veche, Beștepe, Valea Nucarilor, Crișan, Ceamurlia de Jos, Murighiol etc. </w:t>
      </w:r>
    </w:p>
    <w:p w:rsidR="00CF36B4" w:rsidRDefault="00CF36B4" w:rsidP="00CF36B4">
      <w:pPr>
        <w:jc w:val="both"/>
        <w:rPr>
          <w:rFonts w:cs="Arial"/>
          <w:bCs/>
        </w:rPr>
      </w:pPr>
    </w:p>
    <w:p w:rsidR="00CF36B4" w:rsidRDefault="00CF36B4" w:rsidP="00CF36B4">
      <w:pPr>
        <w:jc w:val="both"/>
        <w:rPr>
          <w:rFonts w:cs="Arial"/>
          <w:bCs/>
        </w:rPr>
      </w:pPr>
    </w:p>
    <w:p w:rsidR="00CF36B4" w:rsidRPr="006A7F96" w:rsidRDefault="00CF36B4" w:rsidP="00CF36B4">
      <w:pPr>
        <w:jc w:val="both"/>
        <w:rPr>
          <w:rFonts w:cs="Arial"/>
          <w:bCs/>
        </w:rPr>
      </w:pPr>
    </w:p>
    <w:p w:rsidR="00AC1066" w:rsidRPr="006A7F96" w:rsidRDefault="00AC1066" w:rsidP="00AC1066">
      <w:pPr>
        <w:pStyle w:val="DDCaption"/>
        <w:jc w:val="center"/>
        <w:rPr>
          <w:rFonts w:cs="Arial"/>
          <w:bCs/>
          <w:lang w:val="ro-RO"/>
        </w:rPr>
      </w:pPr>
      <w:bookmarkStart w:id="18" w:name="_Toc430333937"/>
      <w:r w:rsidRPr="006A7F96">
        <w:rPr>
          <w:lang w:val="ro-RO"/>
        </w:rPr>
        <w:t>Figura 45: Indicele Dezvoltării Umane Locale</w:t>
      </w:r>
      <w:bookmarkEnd w:id="18"/>
    </w:p>
    <w:p w:rsidR="00AC1066" w:rsidRPr="006A7F96" w:rsidRDefault="00AC1066" w:rsidP="00AC1066">
      <w:pPr>
        <w:rPr>
          <w:rFonts w:cs="Arial"/>
          <w:bCs/>
        </w:rPr>
      </w:pPr>
      <w:r w:rsidRPr="006A7F96">
        <w:rPr>
          <w:noProof/>
          <w:lang w:val="en-US"/>
        </w:rPr>
        <mc:AlternateContent>
          <mc:Choice Requires="wps">
            <w:drawing>
              <wp:anchor distT="0" distB="0" distL="114300" distR="114300" simplePos="0" relativeHeight="251668480" behindDoc="0" locked="0" layoutInCell="1" allowOverlap="1" wp14:anchorId="21D82E25" wp14:editId="7D6F1761">
                <wp:simplePos x="0" y="0"/>
                <wp:positionH relativeFrom="column">
                  <wp:posOffset>4543425</wp:posOffset>
                </wp:positionH>
                <wp:positionV relativeFrom="paragraph">
                  <wp:posOffset>352425</wp:posOffset>
                </wp:positionV>
                <wp:extent cx="1123950" cy="1143000"/>
                <wp:effectExtent l="0" t="0" r="0" b="0"/>
                <wp:wrapNone/>
                <wp:docPr id="135" name="Text Box 9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1143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1066" w:rsidRDefault="00AC1066" w:rsidP="00AC1066">
                            <w:pPr>
                              <w:spacing w:after="20"/>
                              <w:ind w:left="-144" w:right="-144"/>
                              <w:rPr>
                                <w:sz w:val="14"/>
                                <w:szCs w:val="12"/>
                              </w:rPr>
                            </w:pPr>
                            <w:r>
                              <w:rPr>
                                <w:sz w:val="14"/>
                                <w:szCs w:val="12"/>
                              </w:rPr>
                              <w:t xml:space="preserve">Foarte </w:t>
                            </w:r>
                            <w:r>
                              <w:rPr>
                                <w:sz w:val="14"/>
                                <w:szCs w:val="12"/>
                              </w:rPr>
                              <w:t>săracă</w:t>
                            </w:r>
                          </w:p>
                          <w:p w:rsidR="00AC1066" w:rsidRDefault="00AC1066" w:rsidP="00AC1066">
                            <w:pPr>
                              <w:spacing w:after="20"/>
                              <w:ind w:left="-144" w:right="-144"/>
                              <w:rPr>
                                <w:sz w:val="14"/>
                                <w:szCs w:val="12"/>
                              </w:rPr>
                            </w:pPr>
                            <w:r>
                              <w:rPr>
                                <w:sz w:val="14"/>
                                <w:szCs w:val="12"/>
                              </w:rPr>
                              <w:t>Săracă</w:t>
                            </w:r>
                          </w:p>
                          <w:p w:rsidR="00AC1066" w:rsidRDefault="00AC1066" w:rsidP="00AC1066">
                            <w:pPr>
                              <w:spacing w:after="20"/>
                              <w:ind w:left="-144" w:right="-144"/>
                              <w:rPr>
                                <w:sz w:val="14"/>
                                <w:szCs w:val="12"/>
                              </w:rPr>
                            </w:pPr>
                            <w:r>
                              <w:rPr>
                                <w:sz w:val="14"/>
                                <w:szCs w:val="12"/>
                              </w:rPr>
                              <w:t>Mediu-inferior dezvoltată</w:t>
                            </w:r>
                          </w:p>
                          <w:p w:rsidR="00AC1066" w:rsidRDefault="00AC1066" w:rsidP="00AC1066">
                            <w:pPr>
                              <w:spacing w:after="40"/>
                              <w:ind w:left="-144" w:right="-144"/>
                              <w:rPr>
                                <w:sz w:val="14"/>
                                <w:szCs w:val="12"/>
                              </w:rPr>
                            </w:pPr>
                            <w:r>
                              <w:rPr>
                                <w:sz w:val="14"/>
                                <w:szCs w:val="12"/>
                              </w:rPr>
                              <w:t>Mediu dezvoltată</w:t>
                            </w:r>
                          </w:p>
                          <w:p w:rsidR="00AC1066" w:rsidRDefault="00AC1066" w:rsidP="00AC1066">
                            <w:pPr>
                              <w:spacing w:after="60"/>
                              <w:ind w:left="-144" w:right="-144"/>
                              <w:rPr>
                                <w:sz w:val="14"/>
                                <w:szCs w:val="12"/>
                              </w:rPr>
                            </w:pPr>
                            <w:r>
                              <w:rPr>
                                <w:sz w:val="14"/>
                                <w:szCs w:val="12"/>
                              </w:rPr>
                              <w:t>Mediu-superior dezvoltată</w:t>
                            </w:r>
                          </w:p>
                          <w:p w:rsidR="00AC1066" w:rsidRDefault="00AC1066" w:rsidP="00AC1066">
                            <w:pPr>
                              <w:spacing w:after="60"/>
                              <w:ind w:left="-144" w:right="-144"/>
                              <w:rPr>
                                <w:sz w:val="14"/>
                                <w:szCs w:val="12"/>
                              </w:rPr>
                            </w:pPr>
                            <w:r>
                              <w:rPr>
                                <w:sz w:val="14"/>
                                <w:szCs w:val="12"/>
                              </w:rPr>
                              <w:t>Dezvoltată</w:t>
                            </w:r>
                          </w:p>
                          <w:p w:rsidR="00AC1066" w:rsidRDefault="00AC1066" w:rsidP="00AC1066">
                            <w:pPr>
                              <w:spacing w:after="40"/>
                              <w:ind w:left="-144" w:right="-144"/>
                              <w:rPr>
                                <w:sz w:val="14"/>
                                <w:szCs w:val="12"/>
                              </w:rPr>
                            </w:pPr>
                            <w:r>
                              <w:rPr>
                                <w:sz w:val="14"/>
                                <w:szCs w:val="12"/>
                              </w:rPr>
                              <w:t>Superior dezvoltată</w:t>
                            </w:r>
                          </w:p>
                          <w:p w:rsidR="00AC1066" w:rsidRPr="00A66D9B" w:rsidRDefault="00AC1066" w:rsidP="00AC1066">
                            <w:pPr>
                              <w:spacing w:after="0"/>
                              <w:ind w:left="-144" w:right="-144"/>
                              <w:rPr>
                                <w:sz w:val="14"/>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D82E25" id="Text Box 987" o:spid="_x0000_s1029" type="#_x0000_t202" style="position:absolute;margin-left:357.75pt;margin-top:27.75pt;width:88.5pt;height:9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" stroked="f">
                <v:textbox>
                  <w:txbxContent>
                    <w:p w:rsidR="00AC1066" w:rsidRDefault="00AC1066" w:rsidP="00AC1066">
                      <w:pPr>
                        <w:spacing w:after="20"/>
                        <w:ind w:left="-144" w:right="-144"/>
                        <w:rPr>
                          <w:sz w:val="14"/>
                          <w:szCs w:val="12"/>
                        </w:rPr>
                      </w:pPr>
                      <w:r>
                        <w:rPr>
                          <w:sz w:val="14"/>
                          <w:szCs w:val="12"/>
                        </w:rPr>
                        <w:t xml:space="preserve">Foarte </w:t>
                      </w:r>
                      <w:r>
                        <w:rPr>
                          <w:sz w:val="14"/>
                          <w:szCs w:val="12"/>
                        </w:rPr>
                        <w:t>săracă</w:t>
                      </w:r>
                    </w:p>
                    <w:p w:rsidR="00AC1066" w:rsidRDefault="00AC1066" w:rsidP="00AC1066">
                      <w:pPr>
                        <w:spacing w:after="20"/>
                        <w:ind w:left="-144" w:right="-144"/>
                        <w:rPr>
                          <w:sz w:val="14"/>
                          <w:szCs w:val="12"/>
                        </w:rPr>
                      </w:pPr>
                      <w:r>
                        <w:rPr>
                          <w:sz w:val="14"/>
                          <w:szCs w:val="12"/>
                        </w:rPr>
                        <w:t>Săracă</w:t>
                      </w:r>
                    </w:p>
                    <w:p w:rsidR="00AC1066" w:rsidRDefault="00AC1066" w:rsidP="00AC1066">
                      <w:pPr>
                        <w:spacing w:after="20"/>
                        <w:ind w:left="-144" w:right="-144"/>
                        <w:rPr>
                          <w:sz w:val="14"/>
                          <w:szCs w:val="12"/>
                        </w:rPr>
                      </w:pPr>
                      <w:r>
                        <w:rPr>
                          <w:sz w:val="14"/>
                          <w:szCs w:val="12"/>
                        </w:rPr>
                        <w:t>Mediu-inferior dezvoltată</w:t>
                      </w:r>
                    </w:p>
                    <w:p w:rsidR="00AC1066" w:rsidRDefault="00AC1066" w:rsidP="00AC1066">
                      <w:pPr>
                        <w:spacing w:after="40"/>
                        <w:ind w:left="-144" w:right="-144"/>
                        <w:rPr>
                          <w:sz w:val="14"/>
                          <w:szCs w:val="12"/>
                        </w:rPr>
                      </w:pPr>
                      <w:r>
                        <w:rPr>
                          <w:sz w:val="14"/>
                          <w:szCs w:val="12"/>
                        </w:rPr>
                        <w:t>Mediu dezvoltată</w:t>
                      </w:r>
                    </w:p>
                    <w:p w:rsidR="00AC1066" w:rsidRDefault="00AC1066" w:rsidP="00AC1066">
                      <w:pPr>
                        <w:spacing w:after="60"/>
                        <w:ind w:left="-144" w:right="-144"/>
                        <w:rPr>
                          <w:sz w:val="14"/>
                          <w:szCs w:val="12"/>
                        </w:rPr>
                      </w:pPr>
                      <w:r>
                        <w:rPr>
                          <w:sz w:val="14"/>
                          <w:szCs w:val="12"/>
                        </w:rPr>
                        <w:t>Mediu-superior dezvoltată</w:t>
                      </w:r>
                    </w:p>
                    <w:p w:rsidR="00AC1066" w:rsidRDefault="00AC1066" w:rsidP="00AC1066">
                      <w:pPr>
                        <w:spacing w:after="60"/>
                        <w:ind w:left="-144" w:right="-144"/>
                        <w:rPr>
                          <w:sz w:val="14"/>
                          <w:szCs w:val="12"/>
                        </w:rPr>
                      </w:pPr>
                      <w:r>
                        <w:rPr>
                          <w:sz w:val="14"/>
                          <w:szCs w:val="12"/>
                        </w:rPr>
                        <w:t>Dezvoltată</w:t>
                      </w:r>
                    </w:p>
                    <w:p w:rsidR="00AC1066" w:rsidRDefault="00AC1066" w:rsidP="00AC1066">
                      <w:pPr>
                        <w:spacing w:after="40"/>
                        <w:ind w:left="-144" w:right="-144"/>
                        <w:rPr>
                          <w:sz w:val="14"/>
                          <w:szCs w:val="12"/>
                        </w:rPr>
                      </w:pPr>
                      <w:r>
                        <w:rPr>
                          <w:sz w:val="14"/>
                          <w:szCs w:val="12"/>
                        </w:rPr>
                        <w:t>Superior dezvoltată</w:t>
                      </w:r>
                    </w:p>
                    <w:p w:rsidR="00AC1066" w:rsidRPr="00A66D9B" w:rsidRDefault="00AC1066" w:rsidP="00AC1066">
                      <w:pPr>
                        <w:spacing w:after="0"/>
                        <w:ind w:left="-144" w:right="-144"/>
                        <w:rPr>
                          <w:sz w:val="14"/>
                          <w:szCs w:val="12"/>
                        </w:rPr>
                      </w:pPr>
                    </w:p>
                  </w:txbxContent>
                </v:textbox>
              </v:shape>
            </w:pict>
          </mc:Fallback>
        </mc:AlternateContent>
      </w:r>
      <w:r w:rsidRPr="006A7F96">
        <w:rPr>
          <w:noProof/>
          <w:lang w:val="en-US"/>
        </w:rPr>
        <mc:AlternateContent>
          <mc:Choice Requires="wps">
            <w:drawing>
              <wp:anchor distT="0" distB="0" distL="114300" distR="114300" simplePos="0" relativeHeight="251667456" behindDoc="0" locked="0" layoutInCell="1" allowOverlap="1" wp14:anchorId="29E0F18E" wp14:editId="359F9E3E">
                <wp:simplePos x="0" y="0"/>
                <wp:positionH relativeFrom="column">
                  <wp:posOffset>4229100</wp:posOffset>
                </wp:positionH>
                <wp:positionV relativeFrom="paragraph">
                  <wp:posOffset>28575</wp:posOffset>
                </wp:positionV>
                <wp:extent cx="1409700" cy="381000"/>
                <wp:effectExtent l="0" t="0" r="0" b="0"/>
                <wp:wrapNone/>
                <wp:docPr id="134" name="Text Box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38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C1066" w:rsidRPr="00A66D9B" w:rsidRDefault="00AC1066" w:rsidP="00AC1066">
                            <w:pPr>
                              <w:rPr>
                                <w:b/>
                                <w:bCs/>
                                <w:sz w:val="16"/>
                                <w:szCs w:val="14"/>
                              </w:rPr>
                            </w:pPr>
                            <w:r w:rsidRPr="00A66D9B">
                              <w:rPr>
                                <w:b/>
                                <w:bCs/>
                                <w:sz w:val="16"/>
                                <w:szCs w:val="14"/>
                              </w:rPr>
                              <w:t xml:space="preserve">Indicele </w:t>
                            </w:r>
                            <w:r w:rsidRPr="00A66D9B">
                              <w:rPr>
                                <w:b/>
                                <w:bCs/>
                                <w:sz w:val="16"/>
                                <w:szCs w:val="14"/>
                              </w:rPr>
                              <w:t xml:space="preserve">Dezvoltării Umane Locale </w:t>
                            </w:r>
                            <w:r>
                              <w:rPr>
                                <w:b/>
                                <w:bCs/>
                                <w:sz w:val="16"/>
                                <w:szCs w:val="14"/>
                              </w:rPr>
                              <w:t>pentru 2011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0F18E" id="Text Box 986" o:spid="_x0000_s1030" type="#_x0000_t202" style="position:absolute;margin-left:333pt;margin-top:2.25pt;width:111pt;height:3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" stroked="f">
                <v:textbox>
                  <w:txbxContent>
                    <w:p w:rsidR="00AC1066" w:rsidRPr="00A66D9B" w:rsidRDefault="00AC1066" w:rsidP="00AC1066">
                      <w:pPr>
                        <w:rPr>
                          <w:b/>
                          <w:bCs/>
                          <w:sz w:val="16"/>
                          <w:szCs w:val="14"/>
                        </w:rPr>
                      </w:pPr>
                      <w:r w:rsidRPr="00A66D9B">
                        <w:rPr>
                          <w:b/>
                          <w:bCs/>
                          <w:sz w:val="16"/>
                          <w:szCs w:val="14"/>
                        </w:rPr>
                        <w:t xml:space="preserve">Indicele </w:t>
                      </w:r>
                      <w:r w:rsidRPr="00A66D9B">
                        <w:rPr>
                          <w:b/>
                          <w:bCs/>
                          <w:sz w:val="16"/>
                          <w:szCs w:val="14"/>
                        </w:rPr>
                        <w:t xml:space="preserve">Dezvoltării Umane Locale </w:t>
                      </w:r>
                      <w:r>
                        <w:rPr>
                          <w:b/>
                          <w:bCs/>
                          <w:sz w:val="16"/>
                          <w:szCs w:val="14"/>
                        </w:rPr>
                        <w:t>pentru 2011</w:t>
                      </w:r>
                    </w:p>
                  </w:txbxContent>
                </v:textbox>
              </v:shape>
            </w:pict>
          </mc:Fallback>
        </mc:AlternateContent>
      </w:r>
      <w:r w:rsidRPr="006A7F96">
        <w:rPr>
          <w:noProof/>
          <w:lang w:val="en-US"/>
        </w:rPr>
        <w:drawing>
          <wp:inline distT="0" distB="0" distL="0" distR="0" wp14:anchorId="47867934" wp14:editId="0CE4A113">
            <wp:extent cx="5730875" cy="3509010"/>
            <wp:effectExtent l="19050" t="0" r="3175" b="0"/>
            <wp:docPr id="48" name="Picture 45" descr="Description: LHDI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scription: LHDI 2011"/>
                    <pic:cNvPicPr>
                      <a:picLocks noChangeAspect="1" noChangeArrowheads="1"/>
                    </pic:cNvPicPr>
                  </pic:nvPicPr>
                  <pic:blipFill>
                    <a:blip r:embed="rId21" cstate="print"/>
                    <a:srcRect/>
                    <a:stretch>
                      <a:fillRect/>
                    </a:stretch>
                  </pic:blipFill>
                  <pic:spPr bwMode="auto">
                    <a:xfrm>
                      <a:off x="0" y="0"/>
                      <a:ext cx="5730875" cy="3509010"/>
                    </a:xfrm>
                    <a:prstGeom prst="rect">
                      <a:avLst/>
                    </a:prstGeom>
                    <a:noFill/>
                    <a:ln w="9525">
                      <a:noFill/>
                      <a:miter lim="800000"/>
                      <a:headEnd/>
                      <a:tailEnd/>
                    </a:ln>
                  </pic:spPr>
                </pic:pic>
              </a:graphicData>
            </a:graphic>
          </wp:inline>
        </w:drawing>
      </w:r>
    </w:p>
    <w:p w:rsidR="00AC1066" w:rsidRPr="006A7F96" w:rsidRDefault="00AC1066" w:rsidP="00AC1066">
      <w:pPr>
        <w:rPr>
          <w:rFonts w:eastAsia="Calibri"/>
        </w:rPr>
      </w:pPr>
      <w:r w:rsidRPr="006A7F96">
        <w:rPr>
          <w:rFonts w:eastAsia="Calibri"/>
        </w:rPr>
        <w:t xml:space="preserve">Metodologia de identificare a zonelor urbane marginalizate este cea utilizată de experții Băncii Mondiale în </w:t>
      </w:r>
      <w:r w:rsidRPr="006A7F96">
        <w:rPr>
          <w:rFonts w:eastAsia="Calibri"/>
          <w:i/>
        </w:rPr>
        <w:t xml:space="preserve">Atlasul zonelor urbane marginalizate din România </w:t>
      </w:r>
      <w:r w:rsidRPr="006A7F96">
        <w:rPr>
          <w:rFonts w:eastAsia="Calibri"/>
        </w:rPr>
        <w:t>(2014)</w:t>
      </w:r>
      <w:r w:rsidRPr="006A7F96">
        <w:rPr>
          <w:rFonts w:eastAsia="Calibri"/>
          <w:vertAlign w:val="superscript"/>
        </w:rPr>
        <w:footnoteReference w:id="13"/>
      </w:r>
      <w:r w:rsidRPr="006A7F96">
        <w:rPr>
          <w:rFonts w:eastAsia="Calibri"/>
        </w:rPr>
        <w:t>. În mediul urban, sunt avute în vedere trei tipuri de zone dezavantajate din punct de vedere al unuia sau a două dintre următoarele trei criterii: (1) capital uman (adică educație, sănătate și comportament demografic), (2) ocuparea forței de muncă și (3) calitatea locuirii. În plus, zonele (sectoarele de recensământ) care cumulează dezavantaje pe toate aceste trei dimensiuni sunt considerate zone urbane marginalizate. Tabelul 3 arată cum se distribuie locuitorii orașelor din Delta Dunării în funcție de tipul zonei de rezidență (nedezavantajată, dezavantajată, marginalizată), prin comparație cu celelalte localități urbane din regiunea Sud-Est și la nivel național, mediul rural.</w:t>
      </w:r>
    </w:p>
    <w:p w:rsidR="00AC1066" w:rsidRPr="006A7F96" w:rsidRDefault="00AC1066" w:rsidP="00AC1066">
      <w:pPr>
        <w:pStyle w:val="DDCaption"/>
        <w:jc w:val="center"/>
        <w:rPr>
          <w:rFonts w:cs="Calibri"/>
          <w:lang w:val="ro-RO"/>
        </w:rPr>
      </w:pPr>
      <w:bookmarkStart w:id="19" w:name="_Toc423445163"/>
      <w:bookmarkStart w:id="20" w:name="_Toc431571806"/>
      <w:r w:rsidRPr="006A7F96">
        <w:rPr>
          <w:rFonts w:cs="Calibri"/>
          <w:lang w:val="ro-RO"/>
        </w:rPr>
        <w:t xml:space="preserve">Tabel 3:  </w:t>
      </w:r>
      <w:r w:rsidRPr="006A7F96">
        <w:rPr>
          <w:lang w:val="ro-RO" w:bidi="en-GB"/>
        </w:rPr>
        <w:t>Distribuția populației urbane din județul Tulcea în funcție de tipul zonei de rezidență</w:t>
      </w:r>
      <w:bookmarkEnd w:id="19"/>
      <w:bookmarkEnd w:id="20"/>
    </w:p>
    <w:tbl>
      <w:tblPr>
        <w:tblW w:w="8987" w:type="dxa"/>
        <w:tblInd w:w="93"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556"/>
        <w:gridCol w:w="540"/>
        <w:gridCol w:w="1329"/>
        <w:gridCol w:w="986"/>
        <w:gridCol w:w="1040"/>
        <w:gridCol w:w="1134"/>
        <w:gridCol w:w="1134"/>
        <w:gridCol w:w="1134"/>
        <w:gridCol w:w="1134"/>
      </w:tblGrid>
      <w:tr w:rsidR="00AC1066" w:rsidRPr="006A7F96" w:rsidTr="0040775C">
        <w:trPr>
          <w:cantSplit/>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lastRenderedPageBreak/>
              <w:t>Reg.</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Jud.</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Municipiu/Oraș</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Populație stabilă</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b/>
                <w:sz w:val="16"/>
                <w:szCs w:val="16"/>
              </w:rPr>
            </w:pPr>
            <w:r w:rsidRPr="006A7F96">
              <w:rPr>
                <w:rFonts w:eastAsia="Calibri"/>
                <w:b/>
                <w:sz w:val="16"/>
                <w:szCs w:val="16"/>
              </w:rPr>
              <w:t>% populație în zone nedezavan-tajate</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 populație în zone dezavantajate pe locuire</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 populație în zone dezavantajate pe ocupare</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 xml:space="preserve">% populație în zone dezavantajate pe capital uman </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 populație în zone marginalizate</w:t>
            </w:r>
          </w:p>
        </w:tc>
      </w:tr>
      <w:tr w:rsidR="00AC1066" w:rsidRPr="006A7F96" w:rsidTr="0040775C">
        <w:trPr>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RO</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Național Urban</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10.858.790</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b/>
                <w:sz w:val="16"/>
                <w:szCs w:val="16"/>
              </w:rPr>
            </w:pPr>
            <w:r w:rsidRPr="006A7F96">
              <w:rPr>
                <w:rFonts w:eastAsia="Calibri"/>
                <w:b/>
                <w:sz w:val="16"/>
                <w:szCs w:val="16"/>
              </w:rPr>
              <w:t>67.8</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5.2</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9.9</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11.7</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3.2</w:t>
            </w:r>
          </w:p>
        </w:tc>
      </w:tr>
      <w:tr w:rsidR="00AC1066" w:rsidRPr="006A7F96" w:rsidTr="0040775C">
        <w:trPr>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SE</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SE Urban</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1.362.011</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b/>
                <w:sz w:val="16"/>
                <w:szCs w:val="16"/>
              </w:rPr>
            </w:pPr>
            <w:r w:rsidRPr="006A7F96">
              <w:rPr>
                <w:rFonts w:eastAsia="Calibri"/>
                <w:b/>
                <w:sz w:val="16"/>
                <w:szCs w:val="16"/>
              </w:rPr>
              <w:t>62.42</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4.22</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16.38</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spacing w:after="0"/>
              <w:rPr>
                <w:rFonts w:eastAsia="Calibri"/>
                <w:b/>
                <w:sz w:val="16"/>
                <w:szCs w:val="16"/>
              </w:rPr>
            </w:pPr>
            <w:r w:rsidRPr="006A7F96">
              <w:rPr>
                <w:rFonts w:eastAsia="Calibri"/>
                <w:b/>
                <w:sz w:val="16"/>
                <w:szCs w:val="16"/>
              </w:rPr>
              <w:t>11.13</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4.19</w:t>
            </w:r>
          </w:p>
        </w:tc>
      </w:tr>
      <w:tr w:rsidR="00AC1066" w:rsidRPr="006A7F96" w:rsidTr="0040775C">
        <w:trPr>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SE</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TL</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TL Urban</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99.581</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b/>
                <w:sz w:val="16"/>
                <w:szCs w:val="16"/>
              </w:rPr>
            </w:pPr>
            <w:r w:rsidRPr="006A7F96">
              <w:rPr>
                <w:rFonts w:eastAsia="Calibri"/>
                <w:b/>
                <w:sz w:val="16"/>
                <w:szCs w:val="16"/>
              </w:rPr>
              <w:t>50.33</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6.86</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11.84</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20.56</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b/>
                <w:sz w:val="16"/>
                <w:szCs w:val="16"/>
              </w:rPr>
            </w:pPr>
            <w:r w:rsidRPr="006A7F96">
              <w:rPr>
                <w:rFonts w:eastAsia="Calibri"/>
                <w:b/>
                <w:sz w:val="16"/>
                <w:szCs w:val="16"/>
              </w:rPr>
              <w:t>8.58</w:t>
            </w:r>
          </w:p>
        </w:tc>
      </w:tr>
      <w:tr w:rsidR="00AC1066" w:rsidRPr="006A7F96" w:rsidTr="0040775C">
        <w:trPr>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SE</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TL</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Municipiul Tulcea</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73.707</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sz w:val="16"/>
                <w:szCs w:val="16"/>
              </w:rPr>
            </w:pPr>
            <w:r w:rsidRPr="006A7F96">
              <w:rPr>
                <w:rFonts w:eastAsia="Calibri"/>
                <w:sz w:val="16"/>
                <w:szCs w:val="16"/>
              </w:rPr>
              <w:t>61.31</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7.13</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7.76</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15.21</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6.81</w:t>
            </w:r>
          </w:p>
        </w:tc>
      </w:tr>
      <w:tr w:rsidR="00AC1066" w:rsidRPr="006A7F96" w:rsidTr="0040775C">
        <w:trPr>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SE</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TL</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Oraș Babadag</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8.940</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sz w:val="16"/>
                <w:szCs w:val="16"/>
              </w:rPr>
            </w:pPr>
            <w:r w:rsidRPr="006A7F96">
              <w:rPr>
                <w:rFonts w:eastAsia="Calibri"/>
                <w:sz w:val="16"/>
                <w:szCs w:val="16"/>
              </w:rPr>
              <w:t>19.06</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6.24</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7.09</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49.80</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13.36</w:t>
            </w:r>
          </w:p>
        </w:tc>
      </w:tr>
      <w:tr w:rsidR="00AC1066" w:rsidRPr="006A7F96" w:rsidTr="0040775C">
        <w:trPr>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SE</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TL</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Oraș Isaccea</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5026</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sz w:val="16"/>
                <w:szCs w:val="16"/>
              </w:rPr>
            </w:pPr>
            <w:r w:rsidRPr="006A7F96">
              <w:rPr>
                <w:rFonts w:eastAsia="Calibri"/>
                <w:sz w:val="16"/>
                <w:szCs w:val="16"/>
              </w:rPr>
              <w:t>2.25</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0.00</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49.12</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26.16</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21.09</w:t>
            </w:r>
          </w:p>
        </w:tc>
      </w:tr>
      <w:tr w:rsidR="00AC1066" w:rsidRPr="006A7F96" w:rsidTr="0040775C">
        <w:trPr>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SE</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TL</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Oraș Măcin</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8.245</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sz w:val="16"/>
                <w:szCs w:val="16"/>
              </w:rPr>
            </w:pPr>
            <w:r w:rsidRPr="006A7F96">
              <w:rPr>
                <w:rFonts w:eastAsia="Calibri"/>
                <w:sz w:val="16"/>
                <w:szCs w:val="16"/>
              </w:rPr>
              <w:t>28.10</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4.78</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27.96</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26.32</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12.84</w:t>
            </w:r>
          </w:p>
        </w:tc>
      </w:tr>
      <w:tr w:rsidR="00AC1066" w:rsidRPr="006A7F96" w:rsidTr="0040775C">
        <w:trPr>
          <w:trHeight w:val="255"/>
          <w:tblHeader/>
        </w:trPr>
        <w:tc>
          <w:tcPr>
            <w:tcW w:w="55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SE</w:t>
            </w:r>
          </w:p>
        </w:tc>
        <w:tc>
          <w:tcPr>
            <w:tcW w:w="540"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TL</w:t>
            </w:r>
          </w:p>
        </w:tc>
        <w:tc>
          <w:tcPr>
            <w:tcW w:w="1329"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Oraș Sulina</w:t>
            </w:r>
          </w:p>
        </w:tc>
        <w:tc>
          <w:tcPr>
            <w:tcW w:w="986"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3.663</w:t>
            </w:r>
          </w:p>
        </w:tc>
        <w:tc>
          <w:tcPr>
            <w:tcW w:w="1040" w:type="dxa"/>
            <w:tcBorders>
              <w:top w:val="single" w:sz="4" w:space="0" w:color="auto"/>
              <w:left w:val="nil"/>
              <w:bottom w:val="single" w:sz="4" w:space="0" w:color="auto"/>
              <w:right w:val="nil"/>
            </w:tcBorders>
            <w:vAlign w:val="center"/>
          </w:tcPr>
          <w:p w:rsidR="00AC1066" w:rsidRPr="006A7F96" w:rsidRDefault="00AC1066" w:rsidP="0040775C">
            <w:pPr>
              <w:rPr>
                <w:rFonts w:eastAsia="Calibri"/>
                <w:sz w:val="16"/>
                <w:szCs w:val="16"/>
              </w:rPr>
            </w:pPr>
            <w:r w:rsidRPr="006A7F96">
              <w:rPr>
                <w:rFonts w:eastAsia="Calibri"/>
                <w:sz w:val="16"/>
                <w:szCs w:val="16"/>
              </w:rPr>
              <w:t>21.65</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17.09</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17.96</w:t>
            </w:r>
          </w:p>
        </w:tc>
        <w:tc>
          <w:tcPr>
            <w:tcW w:w="1134" w:type="dxa"/>
            <w:tcBorders>
              <w:top w:val="single" w:sz="4" w:space="0" w:color="auto"/>
              <w:left w:val="nil"/>
              <w:bottom w:val="single" w:sz="4" w:space="0" w:color="auto"/>
              <w:right w:val="nil"/>
            </w:tcBorders>
            <w:shd w:val="clear" w:color="auto" w:fill="C0C0C0"/>
            <w:noWrap/>
            <w:vAlign w:val="center"/>
          </w:tcPr>
          <w:p w:rsidR="00AC1066" w:rsidRPr="006A7F96" w:rsidRDefault="00AC1066" w:rsidP="0040775C">
            <w:pPr>
              <w:rPr>
                <w:rFonts w:eastAsia="Calibri"/>
                <w:sz w:val="16"/>
                <w:szCs w:val="16"/>
              </w:rPr>
            </w:pPr>
            <w:r w:rsidRPr="006A7F96">
              <w:rPr>
                <w:rFonts w:eastAsia="Calibri"/>
                <w:sz w:val="16"/>
                <w:szCs w:val="16"/>
              </w:rPr>
              <w:t>36.17</w:t>
            </w:r>
          </w:p>
        </w:tc>
        <w:tc>
          <w:tcPr>
            <w:tcW w:w="1134" w:type="dxa"/>
            <w:tcBorders>
              <w:top w:val="single" w:sz="4" w:space="0" w:color="auto"/>
              <w:left w:val="nil"/>
              <w:bottom w:val="single" w:sz="4" w:space="0" w:color="auto"/>
              <w:right w:val="nil"/>
            </w:tcBorders>
            <w:noWrap/>
            <w:vAlign w:val="center"/>
          </w:tcPr>
          <w:p w:rsidR="00AC1066" w:rsidRPr="006A7F96" w:rsidRDefault="00AC1066" w:rsidP="0040775C">
            <w:pPr>
              <w:rPr>
                <w:rFonts w:eastAsia="Calibri"/>
                <w:sz w:val="16"/>
                <w:szCs w:val="16"/>
              </w:rPr>
            </w:pPr>
            <w:r w:rsidRPr="006A7F96">
              <w:rPr>
                <w:rFonts w:eastAsia="Calibri"/>
                <w:sz w:val="16"/>
                <w:szCs w:val="16"/>
              </w:rPr>
              <w:t>5.92</w:t>
            </w:r>
          </w:p>
        </w:tc>
      </w:tr>
    </w:tbl>
    <w:p w:rsidR="00AC1066" w:rsidRPr="006A7F96" w:rsidRDefault="00AC1066" w:rsidP="00AC1066">
      <w:pPr>
        <w:rPr>
          <w:rFonts w:eastAsia="Calibri"/>
          <w:sz w:val="18"/>
          <w:szCs w:val="18"/>
        </w:rPr>
      </w:pPr>
      <w:r w:rsidRPr="006A7F96">
        <w:rPr>
          <w:rFonts w:eastAsia="Calibri"/>
          <w:sz w:val="18"/>
          <w:szCs w:val="18"/>
        </w:rPr>
        <w:t xml:space="preserve">Sursa: Recensământul populației și al locuințelor 2011, calcule ale Băncii Mondiale: </w:t>
      </w:r>
      <w:r w:rsidRPr="006A7F96">
        <w:rPr>
          <w:rFonts w:eastAsia="Calibri"/>
          <w:i/>
          <w:sz w:val="18"/>
          <w:szCs w:val="18"/>
        </w:rPr>
        <w:t xml:space="preserve">Atlasul zonelor urbane marginalizate din România </w:t>
      </w:r>
      <w:r w:rsidRPr="006A7F96">
        <w:rPr>
          <w:rFonts w:eastAsia="Calibri"/>
          <w:sz w:val="18"/>
          <w:szCs w:val="18"/>
        </w:rPr>
        <w:t>(2014: 87). Sunt marcate cu gri celulele cu valori mult mai mari decât mediile la nivel național și regional.</w:t>
      </w:r>
    </w:p>
    <w:p w:rsidR="00AC1066" w:rsidRPr="006A7F96" w:rsidRDefault="00AC1066" w:rsidP="00CF36B4">
      <w:pPr>
        <w:jc w:val="both"/>
        <w:rPr>
          <w:rFonts w:eastAsia="Calibri"/>
        </w:rPr>
      </w:pPr>
      <w:r w:rsidRPr="006A7F96">
        <w:rPr>
          <w:rFonts w:eastAsia="Calibri"/>
        </w:rPr>
        <w:t>Zonele rurale marginalizate sunt, prin definiție, sectoare de recensământ în care dezavantajele sunt combinate în toate cele trei privințe. Astfel, între comunele din Delta Dunării, doar 5 localități înregistrează o pondere a populației în zone rurale marginalizate peste zero. Însă, dintre acestea, doar în comuna Mihai Viteazu (județul Constanța) rata de marginalizare este peste media națională în mediul rural</w:t>
      </w:r>
      <w:r w:rsidRPr="006A7F96">
        <w:rPr>
          <w:rFonts w:eastAsia="Calibri"/>
          <w:vertAlign w:val="superscript"/>
        </w:rPr>
        <w:footnoteReference w:id="14"/>
      </w:r>
      <w:r w:rsidRPr="006A7F96">
        <w:rPr>
          <w:rFonts w:eastAsia="Calibri"/>
        </w:rPr>
        <w:t>. De altfel, în această comună, un număr relativ mare de locuitori s-au auto-declarat de etnie romă la recensământul din 2011, iar o parte importantă din aceștia locuiește în zona marginalizată. În celelalte 4 comune (Baia, Jurilovca, Murighiol și Slava Cercheză), zonele marginalizate sunt relativ mici, de circa 100-200 persoane, iar ponderea rezidenților din aceste zone din totalul populației indică un nivel redus de marginalizare în context național rural. Per total arie Delta Dunării, aproximativ 1% din populația rurală trăiește în zone rurale marginalizate.</w:t>
      </w:r>
    </w:p>
    <w:tbl>
      <w:tblPr>
        <w:tblW w:w="9464" w:type="dxa"/>
        <w:tblLayout w:type="fixed"/>
        <w:tblLook w:val="04A0" w:firstRow="1" w:lastRow="0" w:firstColumn="1" w:lastColumn="0" w:noHBand="0" w:noVBand="1"/>
      </w:tblPr>
      <w:tblGrid>
        <w:gridCol w:w="4786"/>
        <w:gridCol w:w="4678"/>
      </w:tblGrid>
      <w:tr w:rsidR="00AC1066" w:rsidRPr="006A7F96" w:rsidTr="0040775C">
        <w:tc>
          <w:tcPr>
            <w:tcW w:w="4786" w:type="dxa"/>
            <w:vMerge w:val="restart"/>
          </w:tcPr>
          <w:p w:rsidR="00AC1066" w:rsidRPr="006A7F96" w:rsidRDefault="00AC1066" w:rsidP="0040775C">
            <w:pPr>
              <w:autoSpaceDE w:val="0"/>
              <w:autoSpaceDN w:val="0"/>
              <w:adjustRightInd w:val="0"/>
              <w:rPr>
                <w:rFonts w:eastAsia="Calibri"/>
              </w:rPr>
            </w:pPr>
            <w:r w:rsidRPr="006A7F96">
              <w:rPr>
                <w:rFonts w:eastAsia="Calibri"/>
              </w:rPr>
              <w:t xml:space="preserve">Zona de Studiu se caracterizează prin grupuri mari de minorități etnice și câteva comunități de romi. </w:t>
            </w:r>
          </w:p>
          <w:p w:rsidR="00AC1066" w:rsidRPr="006A7F96" w:rsidRDefault="00AC1066" w:rsidP="00CF36B4">
            <w:pPr>
              <w:jc w:val="both"/>
              <w:rPr>
                <w:rFonts w:eastAsia="Calibri"/>
                <w:sz w:val="18"/>
              </w:rPr>
            </w:pPr>
            <w:r w:rsidRPr="006A7F96">
              <w:rPr>
                <w:rFonts w:eastAsia="Calibri"/>
              </w:rPr>
              <w:t xml:space="preserve">Grupurile etnice minoritare constituie aproximativ 15 la sută din populația din Zona de Studiu, un procent de trei ori mai mare decât media națională. Cel mai mare grup minoritar din Zona de Studiu este reprezentat de ruși / lipoveni (aproximativ 5 la sută din populație), dar există și comunități de romi  (de exemplu, în Babadag). Aproximativ 2 la sută din populația din Zona de Studiu s-a auto-identificat ca fiind de origine romă, dar acest lucru este probabil să fie o subestimare. Astfel, pentru aproximativ 8% din populația din aria de studiu nu există informație privind etnia la ultimul recensământ. </w:t>
            </w:r>
          </w:p>
        </w:tc>
        <w:tc>
          <w:tcPr>
            <w:tcW w:w="4678" w:type="dxa"/>
          </w:tcPr>
          <w:p w:rsidR="00AC1066" w:rsidRPr="006A7F96" w:rsidRDefault="00AC1066" w:rsidP="0040775C">
            <w:pPr>
              <w:pStyle w:val="DDCaption"/>
              <w:rPr>
                <w:lang w:val="ro-RO" w:bidi="en-GB"/>
              </w:rPr>
            </w:pPr>
            <w:bookmarkStart w:id="21" w:name="_Toc423445055"/>
            <w:bookmarkStart w:id="22" w:name="_Toc430333938"/>
            <w:r w:rsidRPr="006A7F96">
              <w:rPr>
                <w:lang w:val="ro-RO" w:bidi="en-GB"/>
              </w:rPr>
              <w:t>Figura 46:</w:t>
            </w:r>
            <w:r w:rsidRPr="006A7F96">
              <w:rPr>
                <w:rFonts w:cs="Calibri"/>
                <w:lang w:val="ro-RO"/>
              </w:rPr>
              <w:t xml:space="preserve"> </w:t>
            </w:r>
            <w:r w:rsidRPr="006A7F96">
              <w:rPr>
                <w:lang w:val="ro-RO" w:bidi="en-GB"/>
              </w:rPr>
              <w:t>Zona de Studiu are o diversitate etnică mai mare decât tot restul României</w:t>
            </w:r>
            <w:bookmarkEnd w:id="21"/>
            <w:bookmarkEnd w:id="22"/>
          </w:p>
          <w:p w:rsidR="00AC1066" w:rsidRPr="006A7F96" w:rsidRDefault="00AC1066" w:rsidP="0040775C">
            <w:pPr>
              <w:autoSpaceDE w:val="0"/>
              <w:autoSpaceDN w:val="0"/>
              <w:adjustRightInd w:val="0"/>
              <w:spacing w:before="240" w:after="0"/>
              <w:rPr>
                <w:rFonts w:eastAsia="Calibri"/>
                <w:b/>
                <w:sz w:val="18"/>
              </w:rPr>
            </w:pPr>
            <w:r w:rsidRPr="006A7F96">
              <w:rPr>
                <w:noProof/>
                <w:lang w:val="en-US"/>
              </w:rPr>
              <mc:AlternateContent>
                <mc:Choice Requires="wps">
                  <w:drawing>
                    <wp:anchor distT="0" distB="0" distL="114300" distR="114300" simplePos="0" relativeHeight="251665408" behindDoc="0" locked="0" layoutInCell="1" allowOverlap="1" wp14:anchorId="3A041FEF" wp14:editId="4B49D8FC">
                      <wp:simplePos x="0" y="0"/>
                      <wp:positionH relativeFrom="column">
                        <wp:posOffset>1938020</wp:posOffset>
                      </wp:positionH>
                      <wp:positionV relativeFrom="paragraph">
                        <wp:posOffset>170180</wp:posOffset>
                      </wp:positionV>
                      <wp:extent cx="823595" cy="2422525"/>
                      <wp:effectExtent l="0" t="0" r="0" b="0"/>
                      <wp:wrapNone/>
                      <wp:docPr id="133"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3595" cy="2422525"/>
                              </a:xfrm>
                              <a:prstGeom prst="rect">
                                <a:avLst/>
                              </a:prstGeom>
                              <a:solidFill>
                                <a:srgbClr val="FFFFFF"/>
                              </a:solidFill>
                              <a:ln>
                                <a:noFill/>
                              </a:ln>
                              <a:extLst>
                                <a:ext uri="{91240B29-F687-4F45-9708-019B960494DF}">
                                  <a14:hiddenLine xmlns:a14="http://schemas.microsoft.com/office/drawing/2010/main" w="15875">
                                    <a:solidFill>
                                      <a:srgbClr val="0000FF"/>
                                    </a:solidFill>
                                    <a:miter lim="200000"/>
                                    <a:headEnd/>
                                    <a:tailEnd/>
                                  </a14:hiddenLine>
                                </a:ext>
                              </a:extLst>
                            </wps:spPr>
                            <wps:txbx>
                              <w:txbxContent>
                                <w:p w:rsidR="00AC1066" w:rsidRPr="00C35563" w:rsidRDefault="00AC1066" w:rsidP="00AC1066">
                                  <w:pPr>
                                    <w:spacing w:line="240" w:lineRule="auto"/>
                                    <w:rPr>
                                      <w:sz w:val="18"/>
                                    </w:rPr>
                                  </w:pPr>
                                  <w:r w:rsidRPr="00C35563">
                                    <w:rPr>
                                      <w:sz w:val="18"/>
                                    </w:rPr>
                                    <w:t xml:space="preserve">Altă </w:t>
                                  </w:r>
                                  <w:r w:rsidRPr="00C35563">
                                    <w:rPr>
                                      <w:sz w:val="18"/>
                                    </w:rPr>
                                    <w:t>etnie</w:t>
                                  </w:r>
                                </w:p>
                                <w:p w:rsidR="00AC1066" w:rsidRPr="00C35563" w:rsidRDefault="00AC1066" w:rsidP="00AC1066">
                                  <w:pPr>
                                    <w:spacing w:line="240" w:lineRule="auto"/>
                                    <w:rPr>
                                      <w:sz w:val="18"/>
                                    </w:rPr>
                                  </w:pPr>
                                  <w:r w:rsidRPr="00C35563">
                                    <w:rPr>
                                      <w:sz w:val="18"/>
                                    </w:rPr>
                                    <w:t>Nedeclarați</w:t>
                                  </w:r>
                                </w:p>
                                <w:p w:rsidR="00AC1066" w:rsidRPr="00C35563" w:rsidRDefault="00AC1066" w:rsidP="00AC1066">
                                  <w:pPr>
                                    <w:spacing w:after="240" w:line="240" w:lineRule="auto"/>
                                    <w:rPr>
                                      <w:sz w:val="18"/>
                                    </w:rPr>
                                  </w:pPr>
                                  <w:r w:rsidRPr="00C35563">
                                    <w:rPr>
                                      <w:sz w:val="18"/>
                                    </w:rPr>
                                    <w:t>Greci</w:t>
                                  </w:r>
                                </w:p>
                                <w:p w:rsidR="00AC1066" w:rsidRPr="00C35563" w:rsidRDefault="00AC1066" w:rsidP="00AC1066">
                                  <w:pPr>
                                    <w:spacing w:after="240" w:line="240" w:lineRule="auto"/>
                                    <w:rPr>
                                      <w:sz w:val="18"/>
                                    </w:rPr>
                                  </w:pPr>
                                  <w:r w:rsidRPr="00C35563">
                                    <w:rPr>
                                      <w:sz w:val="18"/>
                                    </w:rPr>
                                    <w:t xml:space="preserve">Ucraineni </w:t>
                                  </w:r>
                                </w:p>
                                <w:p w:rsidR="00AC1066" w:rsidRPr="00C35563" w:rsidRDefault="00AC1066" w:rsidP="00AC1066">
                                  <w:pPr>
                                    <w:spacing w:after="240" w:line="240" w:lineRule="auto"/>
                                    <w:rPr>
                                      <w:sz w:val="16"/>
                                      <w:szCs w:val="16"/>
                                    </w:rPr>
                                  </w:pPr>
                                  <w:r w:rsidRPr="00C35563">
                                    <w:rPr>
                                      <w:sz w:val="16"/>
                                      <w:szCs w:val="16"/>
                                    </w:rPr>
                                    <w:t>Macedoromâni</w:t>
                                  </w:r>
                                </w:p>
                                <w:p w:rsidR="00AC1066" w:rsidRPr="00C35563" w:rsidRDefault="00AC1066" w:rsidP="00AC1066">
                                  <w:pPr>
                                    <w:spacing w:after="200" w:line="240" w:lineRule="auto"/>
                                    <w:rPr>
                                      <w:sz w:val="18"/>
                                    </w:rPr>
                                  </w:pPr>
                                  <w:r w:rsidRPr="00C35563">
                                    <w:rPr>
                                      <w:sz w:val="18"/>
                                    </w:rPr>
                                    <w:t>Turci</w:t>
                                  </w:r>
                                </w:p>
                                <w:p w:rsidR="00AC1066" w:rsidRPr="00C35563" w:rsidRDefault="00AC1066" w:rsidP="00AC1066">
                                  <w:pPr>
                                    <w:spacing w:after="200" w:line="240" w:lineRule="auto"/>
                                    <w:rPr>
                                      <w:sz w:val="18"/>
                                    </w:rPr>
                                  </w:pPr>
                                  <w:r w:rsidRPr="00C35563">
                                    <w:rPr>
                                      <w:sz w:val="18"/>
                                    </w:rPr>
                                    <w:t>Romi</w:t>
                                  </w:r>
                                </w:p>
                                <w:p w:rsidR="00AC1066" w:rsidRPr="00C35563" w:rsidRDefault="00AC1066" w:rsidP="00AC1066">
                                  <w:pPr>
                                    <w:spacing w:after="200" w:line="240" w:lineRule="auto"/>
                                    <w:rPr>
                                      <w:sz w:val="18"/>
                                    </w:rPr>
                                  </w:pPr>
                                  <w:r w:rsidRPr="00C35563">
                                    <w:rPr>
                                      <w:sz w:val="18"/>
                                    </w:rPr>
                                    <w:t>Ruși/lipoveni</w:t>
                                  </w:r>
                                </w:p>
                                <w:p w:rsidR="00AC1066" w:rsidRPr="00C35563" w:rsidRDefault="00AC1066" w:rsidP="00AC1066">
                                  <w:pPr>
                                    <w:spacing w:after="200" w:line="240" w:lineRule="auto"/>
                                    <w:rPr>
                                      <w:sz w:val="18"/>
                                    </w:rPr>
                                  </w:pPr>
                                  <w:r w:rsidRPr="00C35563">
                                    <w:rPr>
                                      <w:sz w:val="18"/>
                                    </w:rPr>
                                    <w:t xml:space="preserve">Români </w:t>
                                  </w:r>
                                </w:p>
                                <w:p w:rsidR="00AC1066" w:rsidRPr="00C35563" w:rsidRDefault="00AC1066" w:rsidP="00AC1066">
                                  <w:pPr>
                                    <w:rPr>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041FEF" id="Text Box 75" o:spid="_x0000_s1031" type="#_x0000_t202" style="position:absolute;margin-left:152.6pt;margin-top:13.4pt;width:64.85pt;height:190.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" stroked="f" strokecolor="blue" strokeweight="1.25pt">
                      <v:stroke miterlimit="2"/>
                      <v:textbox>
                        <w:txbxContent>
                          <w:p w:rsidR="00AC1066" w:rsidRPr="00C35563" w:rsidRDefault="00AC1066" w:rsidP="00AC1066">
                            <w:pPr>
                              <w:spacing w:line="240" w:lineRule="auto"/>
                              <w:rPr>
                                <w:sz w:val="18"/>
                              </w:rPr>
                            </w:pPr>
                            <w:r w:rsidRPr="00C35563">
                              <w:rPr>
                                <w:sz w:val="18"/>
                              </w:rPr>
                              <w:t xml:space="preserve">Altă </w:t>
                            </w:r>
                            <w:r w:rsidRPr="00C35563">
                              <w:rPr>
                                <w:sz w:val="18"/>
                              </w:rPr>
                              <w:t>etnie</w:t>
                            </w:r>
                          </w:p>
                          <w:p w:rsidR="00AC1066" w:rsidRPr="00C35563" w:rsidRDefault="00AC1066" w:rsidP="00AC1066">
                            <w:pPr>
                              <w:spacing w:line="240" w:lineRule="auto"/>
                              <w:rPr>
                                <w:sz w:val="18"/>
                              </w:rPr>
                            </w:pPr>
                            <w:r w:rsidRPr="00C35563">
                              <w:rPr>
                                <w:sz w:val="18"/>
                              </w:rPr>
                              <w:t>Nedeclarați</w:t>
                            </w:r>
                          </w:p>
                          <w:p w:rsidR="00AC1066" w:rsidRPr="00C35563" w:rsidRDefault="00AC1066" w:rsidP="00AC1066">
                            <w:pPr>
                              <w:spacing w:after="240" w:line="240" w:lineRule="auto"/>
                              <w:rPr>
                                <w:sz w:val="18"/>
                              </w:rPr>
                            </w:pPr>
                            <w:r w:rsidRPr="00C35563">
                              <w:rPr>
                                <w:sz w:val="18"/>
                              </w:rPr>
                              <w:t>Greci</w:t>
                            </w:r>
                          </w:p>
                          <w:p w:rsidR="00AC1066" w:rsidRPr="00C35563" w:rsidRDefault="00AC1066" w:rsidP="00AC1066">
                            <w:pPr>
                              <w:spacing w:after="240" w:line="240" w:lineRule="auto"/>
                              <w:rPr>
                                <w:sz w:val="18"/>
                              </w:rPr>
                            </w:pPr>
                            <w:r w:rsidRPr="00C35563">
                              <w:rPr>
                                <w:sz w:val="18"/>
                              </w:rPr>
                              <w:t xml:space="preserve">Ucraineni </w:t>
                            </w:r>
                          </w:p>
                          <w:p w:rsidR="00AC1066" w:rsidRPr="00C35563" w:rsidRDefault="00AC1066" w:rsidP="00AC1066">
                            <w:pPr>
                              <w:spacing w:after="240" w:line="240" w:lineRule="auto"/>
                              <w:rPr>
                                <w:sz w:val="16"/>
                                <w:szCs w:val="16"/>
                              </w:rPr>
                            </w:pPr>
                            <w:r w:rsidRPr="00C35563">
                              <w:rPr>
                                <w:sz w:val="16"/>
                                <w:szCs w:val="16"/>
                              </w:rPr>
                              <w:t>Macedoromâni</w:t>
                            </w:r>
                          </w:p>
                          <w:p w:rsidR="00AC1066" w:rsidRPr="00C35563" w:rsidRDefault="00AC1066" w:rsidP="00AC1066">
                            <w:pPr>
                              <w:spacing w:after="200" w:line="240" w:lineRule="auto"/>
                              <w:rPr>
                                <w:sz w:val="18"/>
                              </w:rPr>
                            </w:pPr>
                            <w:r w:rsidRPr="00C35563">
                              <w:rPr>
                                <w:sz w:val="18"/>
                              </w:rPr>
                              <w:t>Turci</w:t>
                            </w:r>
                          </w:p>
                          <w:p w:rsidR="00AC1066" w:rsidRPr="00C35563" w:rsidRDefault="00AC1066" w:rsidP="00AC1066">
                            <w:pPr>
                              <w:spacing w:after="200" w:line="240" w:lineRule="auto"/>
                              <w:rPr>
                                <w:sz w:val="18"/>
                              </w:rPr>
                            </w:pPr>
                            <w:r w:rsidRPr="00C35563">
                              <w:rPr>
                                <w:sz w:val="18"/>
                              </w:rPr>
                              <w:t>Romi</w:t>
                            </w:r>
                          </w:p>
                          <w:p w:rsidR="00AC1066" w:rsidRPr="00C35563" w:rsidRDefault="00AC1066" w:rsidP="00AC1066">
                            <w:pPr>
                              <w:spacing w:after="200" w:line="240" w:lineRule="auto"/>
                              <w:rPr>
                                <w:sz w:val="18"/>
                              </w:rPr>
                            </w:pPr>
                            <w:r w:rsidRPr="00C35563">
                              <w:rPr>
                                <w:sz w:val="18"/>
                              </w:rPr>
                              <w:t>Ruși/lipoveni</w:t>
                            </w:r>
                          </w:p>
                          <w:p w:rsidR="00AC1066" w:rsidRPr="00C35563" w:rsidRDefault="00AC1066" w:rsidP="00AC1066">
                            <w:pPr>
                              <w:spacing w:after="200" w:line="240" w:lineRule="auto"/>
                              <w:rPr>
                                <w:sz w:val="18"/>
                              </w:rPr>
                            </w:pPr>
                            <w:r w:rsidRPr="00C35563">
                              <w:rPr>
                                <w:sz w:val="18"/>
                              </w:rPr>
                              <w:t xml:space="preserve">Români </w:t>
                            </w:r>
                          </w:p>
                          <w:p w:rsidR="00AC1066" w:rsidRPr="00C35563" w:rsidRDefault="00AC1066" w:rsidP="00AC1066">
                            <w:pPr>
                              <w:rPr>
                                <w:sz w:val="18"/>
                              </w:rPr>
                            </w:pPr>
                          </w:p>
                        </w:txbxContent>
                      </v:textbox>
                    </v:shape>
                  </w:pict>
                </mc:Fallback>
              </mc:AlternateContent>
            </w:r>
            <w:r w:rsidRPr="006A7F96">
              <w:rPr>
                <w:noProof/>
                <w:lang w:val="en-US"/>
              </w:rPr>
              <mc:AlternateContent>
                <mc:Choice Requires="wps">
                  <w:drawing>
                    <wp:anchor distT="0" distB="0" distL="114300" distR="114300" simplePos="0" relativeHeight="251666432" behindDoc="0" locked="0" layoutInCell="1" allowOverlap="1" wp14:anchorId="6B16081F" wp14:editId="47427F87">
                      <wp:simplePos x="0" y="0"/>
                      <wp:positionH relativeFrom="column">
                        <wp:posOffset>351790</wp:posOffset>
                      </wp:positionH>
                      <wp:positionV relativeFrom="paragraph">
                        <wp:posOffset>1932305</wp:posOffset>
                      </wp:positionV>
                      <wp:extent cx="1276985" cy="587375"/>
                      <wp:effectExtent l="0" t="0" r="0" b="0"/>
                      <wp:wrapNone/>
                      <wp:docPr id="131"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587375"/>
                              </a:xfrm>
                              <a:prstGeom prst="rect">
                                <a:avLst/>
                              </a:prstGeom>
                              <a:solidFill>
                                <a:srgbClr val="FFFFFF"/>
                              </a:solidFill>
                              <a:ln>
                                <a:noFill/>
                              </a:ln>
                              <a:extLst>
                                <a:ext uri="{91240B29-F687-4F45-9708-019B960494DF}">
                                  <a14:hiddenLine xmlns:a14="http://schemas.microsoft.com/office/drawing/2010/main" w="15875">
                                    <a:solidFill>
                                      <a:srgbClr val="739CC3"/>
                                    </a:solidFill>
                                    <a:miter lim="200000"/>
                                    <a:headEnd/>
                                    <a:tailEnd/>
                                  </a14:hiddenLine>
                                </a:ext>
                              </a:extLst>
                            </wps:spPr>
                            <wps:txbx>
                              <w:txbxContent>
                                <w:p w:rsidR="00AC1066" w:rsidRPr="009F65C2" w:rsidRDefault="00AC1066" w:rsidP="00AC1066">
                                  <w:pPr>
                                    <w:ind w:left="-142"/>
                                    <w:jc w:val="right"/>
                                    <w:rPr>
                                      <w:sz w:val="4"/>
                                    </w:rPr>
                                  </w:pPr>
                                </w:p>
                                <w:p w:rsidR="00AC1066" w:rsidRPr="009F65C2" w:rsidRDefault="00AC1066" w:rsidP="00AC1066">
                                  <w:pPr>
                                    <w:ind w:left="-142"/>
                                    <w:jc w:val="right"/>
                                    <w:rPr>
                                      <w:sz w:val="18"/>
                                    </w:rPr>
                                  </w:pPr>
                                  <w:r>
                                    <w:rPr>
                                      <w:sz w:val="18"/>
                                    </w:rPr>
                                    <w:t xml:space="preserve">Centrul </w:t>
                                  </w:r>
                                  <w:r w:rsidRPr="009F65C2">
                                    <w:rPr>
                                      <w:sz w:val="18"/>
                                    </w:rPr>
                                    <w:t xml:space="preserve"> </w:t>
                                  </w:r>
                                  <w:r w:rsidRPr="009F65C2">
                                    <w:rPr>
                                      <w:sz w:val="18"/>
                                    </w:rPr>
                                    <w:t xml:space="preserve">Deltei </w:t>
                                  </w:r>
                                </w:p>
                                <w:p w:rsidR="00AC1066" w:rsidRPr="009F65C2" w:rsidRDefault="00AC1066" w:rsidP="00AC1066">
                                  <w:pPr>
                                    <w:ind w:left="-142"/>
                                    <w:jc w:val="right"/>
                                    <w:rPr>
                                      <w:sz w:val="18"/>
                                    </w:rPr>
                                  </w:pPr>
                                  <w:r w:rsidRPr="009F65C2">
                                    <w:rPr>
                                      <w:sz w:val="18"/>
                                    </w:rPr>
                                    <w:t>Zonele limitrofe</w:t>
                                  </w:r>
                                </w:p>
                                <w:p w:rsidR="00AC1066" w:rsidRPr="009F65C2" w:rsidRDefault="00AC1066" w:rsidP="00AC1066">
                                  <w:pPr>
                                    <w:ind w:left="-142"/>
                                    <w:jc w:val="right"/>
                                    <w:rPr>
                                      <w:sz w:val="18"/>
                                    </w:rPr>
                                  </w:pPr>
                                  <w:r w:rsidRPr="009F65C2">
                                    <w:rPr>
                                      <w:sz w:val="18"/>
                                    </w:rPr>
                                    <w:t>Zona de studiu</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16081F" id="Text Box 74" o:spid="_x0000_s1032" type="#_x0000_t202" style="position:absolute;margin-left:27.7pt;margin-top:152.15pt;width:100.55pt;height:46.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" stroked="f" strokecolor="#739cc3" strokeweight="1.25pt">
                      <v:stroke miterlimit="2"/>
                      <v:textbox style="layout-flow:vertical;mso-layout-flow-alt:bottom-to-top">
                        <w:txbxContent>
                          <w:p w:rsidR="00AC1066" w:rsidRPr="009F65C2" w:rsidRDefault="00AC1066" w:rsidP="00AC1066">
                            <w:pPr>
                              <w:ind w:left="-142"/>
                              <w:jc w:val="right"/>
                              <w:rPr>
                                <w:sz w:val="4"/>
                              </w:rPr>
                            </w:pPr>
                          </w:p>
                          <w:p w:rsidR="00AC1066" w:rsidRPr="009F65C2" w:rsidRDefault="00AC1066" w:rsidP="00AC1066">
                            <w:pPr>
                              <w:ind w:left="-142"/>
                              <w:jc w:val="right"/>
                              <w:rPr>
                                <w:sz w:val="18"/>
                              </w:rPr>
                            </w:pPr>
                            <w:r>
                              <w:rPr>
                                <w:sz w:val="18"/>
                              </w:rPr>
                              <w:t xml:space="preserve">Centrul </w:t>
                            </w:r>
                            <w:r w:rsidRPr="009F65C2">
                              <w:rPr>
                                <w:sz w:val="18"/>
                              </w:rPr>
                              <w:t xml:space="preserve"> </w:t>
                            </w:r>
                            <w:r w:rsidRPr="009F65C2">
                              <w:rPr>
                                <w:sz w:val="18"/>
                              </w:rPr>
                              <w:t xml:space="preserve">Deltei </w:t>
                            </w:r>
                          </w:p>
                          <w:p w:rsidR="00AC1066" w:rsidRPr="009F65C2" w:rsidRDefault="00AC1066" w:rsidP="00AC1066">
                            <w:pPr>
                              <w:ind w:left="-142"/>
                              <w:jc w:val="right"/>
                              <w:rPr>
                                <w:sz w:val="18"/>
                              </w:rPr>
                            </w:pPr>
                            <w:r w:rsidRPr="009F65C2">
                              <w:rPr>
                                <w:sz w:val="18"/>
                              </w:rPr>
                              <w:t>Zonele limitrofe</w:t>
                            </w:r>
                          </w:p>
                          <w:p w:rsidR="00AC1066" w:rsidRPr="009F65C2" w:rsidRDefault="00AC1066" w:rsidP="00AC1066">
                            <w:pPr>
                              <w:ind w:left="-142"/>
                              <w:jc w:val="right"/>
                              <w:rPr>
                                <w:sz w:val="18"/>
                              </w:rPr>
                            </w:pPr>
                            <w:r w:rsidRPr="009F65C2">
                              <w:rPr>
                                <w:sz w:val="18"/>
                              </w:rPr>
                              <w:t>Zona de studiu</w:t>
                            </w:r>
                          </w:p>
                        </w:txbxContent>
                      </v:textbox>
                    </v:shape>
                  </w:pict>
                </mc:Fallback>
              </mc:AlternateContent>
            </w:r>
            <w:r w:rsidRPr="006A7F96">
              <w:rPr>
                <w:rFonts w:eastAsia="Calibri"/>
                <w:b/>
                <w:noProof/>
                <w:sz w:val="18"/>
                <w:lang w:val="en-US"/>
              </w:rPr>
              <w:drawing>
                <wp:inline distT="0" distB="0" distL="0" distR="0" wp14:anchorId="5D233808" wp14:editId="2B296A84">
                  <wp:extent cx="2839085" cy="2487930"/>
                  <wp:effectExtent l="19050" t="0" r="0" b="0"/>
                  <wp:docPr id="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2" cstate="print"/>
                          <a:srcRect/>
                          <a:stretch>
                            <a:fillRect/>
                          </a:stretch>
                        </pic:blipFill>
                        <pic:spPr bwMode="auto">
                          <a:xfrm>
                            <a:off x="0" y="0"/>
                            <a:ext cx="2839085" cy="2487930"/>
                          </a:xfrm>
                          <a:prstGeom prst="rect">
                            <a:avLst/>
                          </a:prstGeom>
                          <a:noFill/>
                          <a:ln w="9525">
                            <a:noFill/>
                            <a:miter lim="800000"/>
                            <a:headEnd/>
                            <a:tailEnd/>
                          </a:ln>
                        </pic:spPr>
                      </pic:pic>
                    </a:graphicData>
                  </a:graphic>
                </wp:inline>
              </w:drawing>
            </w:r>
          </w:p>
        </w:tc>
      </w:tr>
      <w:tr w:rsidR="00AC1066" w:rsidRPr="006A7F96" w:rsidTr="0040775C">
        <w:tc>
          <w:tcPr>
            <w:tcW w:w="4786" w:type="dxa"/>
            <w:vMerge/>
          </w:tcPr>
          <w:p w:rsidR="00AC1066" w:rsidRPr="006A7F96" w:rsidRDefault="00AC1066" w:rsidP="0040775C">
            <w:pPr>
              <w:rPr>
                <w:rFonts w:eastAsia="Calibri"/>
              </w:rPr>
            </w:pPr>
          </w:p>
        </w:tc>
        <w:tc>
          <w:tcPr>
            <w:tcW w:w="4678" w:type="dxa"/>
          </w:tcPr>
          <w:p w:rsidR="00AC1066" w:rsidRPr="006A7F96" w:rsidRDefault="00AC1066" w:rsidP="0040775C">
            <w:pPr>
              <w:rPr>
                <w:rFonts w:eastAsia="Calibri"/>
                <w:i/>
                <w:iCs/>
                <w:sz w:val="18"/>
                <w:szCs w:val="18"/>
              </w:rPr>
            </w:pPr>
            <w:r w:rsidRPr="006A7F96">
              <w:rPr>
                <w:rFonts w:eastAsia="Calibri"/>
                <w:i/>
                <w:iCs/>
                <w:sz w:val="18"/>
                <w:szCs w:val="18"/>
              </w:rPr>
              <w:t>Sursa: Adaptată de autori de la INS (2013)</w:t>
            </w:r>
          </w:p>
        </w:tc>
      </w:tr>
    </w:tbl>
    <w:p w:rsidR="00AC1066" w:rsidRPr="006A7F96" w:rsidRDefault="00AC1066" w:rsidP="00CF36B4">
      <w:pPr>
        <w:jc w:val="both"/>
        <w:rPr>
          <w:rFonts w:eastAsia="Calibri"/>
        </w:rPr>
      </w:pPr>
      <w:r w:rsidRPr="006A7F96">
        <w:rPr>
          <w:rFonts w:eastAsia="Calibri"/>
        </w:rPr>
        <w:lastRenderedPageBreak/>
        <w:t>Datele privitoare la ocuparea forței de muncă pentru romii din Zona de Studiu sunt similare cu cele din restul României – aproximativ 25% din romii adulți s-au identificat ca angajați, în timp ce media națională a ratei de ocupare pentru romi este de aproximativ 30%.</w:t>
      </w:r>
      <w:r w:rsidRPr="006A7F96">
        <w:rPr>
          <w:rFonts w:eastAsia="Calibri"/>
          <w:vertAlign w:val="superscript"/>
        </w:rPr>
        <w:footnoteReference w:id="15"/>
      </w:r>
      <w:r w:rsidRPr="006A7F96">
        <w:rPr>
          <w:rFonts w:eastAsia="Calibri"/>
        </w:rPr>
        <w:t xml:space="preserve"> Procentul de participare la sistemul de educație pentru romi este jumătate din cel al populației românești din Zona de Studiu. Doar 10% din romi (cu vârste cuprinse între 25 și 64 de ani) au absolvit învățământul secundar, în contrast puternic cu 58% dintre non-romii care trăiesc în apropiere.</w:t>
      </w:r>
    </w:p>
    <w:p w:rsidR="00AC1066" w:rsidRPr="006A7F96" w:rsidRDefault="00AC1066" w:rsidP="00CF36B4">
      <w:pPr>
        <w:jc w:val="both"/>
        <w:rPr>
          <w:rFonts w:cs="Arial"/>
          <w:bCs/>
        </w:rPr>
      </w:pPr>
      <w:r w:rsidRPr="006A7F96">
        <w:rPr>
          <w:rFonts w:eastAsia="Calibri"/>
        </w:rPr>
        <w:t>Accesul la servicii sociale de calitate este deficitar în comunele din aria Deltei, situație similară cu cea a altor comunități rurale mici și izolate. Astfel, în anul 2014, dintre 33 de comune incluse în Zona de Studiu, doar 18 aveau o farmacie sau un punct farmaceutic. În 2 comune nu era prezent niciun medic de familie. Alți lucrători comunitari, precum mediatorii școlari, asistenții medicali comunitari (21 comune), mediatorii sanitari romi (2 comune) sau asistenții sociali erau, de asemenea, insuficienți pentru a asigura accesul populației la servicii comunitare.</w:t>
      </w:r>
    </w:p>
    <w:p w:rsidR="00AC1066" w:rsidRPr="006A7F96" w:rsidRDefault="00AC1066" w:rsidP="00CF36B4">
      <w:pPr>
        <w:jc w:val="both"/>
        <w:rPr>
          <w:rFonts w:cs="Arial"/>
          <w:bCs/>
        </w:rPr>
      </w:pPr>
      <w:r w:rsidRPr="006A7F96">
        <w:rPr>
          <w:rFonts w:cs="Arial"/>
          <w:bCs/>
        </w:rPr>
        <w:t xml:space="preserve">În evidențele autorităților județene există un număr de peste 1.000 de copii ai căror părinți sunt plecați în străinătate, 9.700 de persoane cu dizabilități, 2.000 de persoane care beneficiază de venit minim garantat, 2.000 de beneficiari de alocație de sprijin al familiei, 5.000 de șomeri oficiali. Pe de altă parte, numărul de persoane vârstnice  (peste 60 de ani) este de circa 51.000. Ponderea acestora a crescut cu peste 3 puncte procentuale doar în perioada 2007-2014. </w:t>
      </w:r>
    </w:p>
    <w:p w:rsidR="00AC1066" w:rsidRPr="006A7F96" w:rsidRDefault="00AC1066" w:rsidP="00CF36B4">
      <w:pPr>
        <w:autoSpaceDE w:val="0"/>
        <w:autoSpaceDN w:val="0"/>
        <w:adjustRightInd w:val="0"/>
        <w:jc w:val="both"/>
      </w:pPr>
      <w:r w:rsidRPr="006A7F96">
        <w:rPr>
          <w:rFonts w:cs="Arial"/>
          <w:bCs/>
        </w:rPr>
        <w:t xml:space="preserve">Direcția Generală de Asistență Socială și Protecția Copilului Tulcea, din subordinea Consiliului Județean Tulcea, este principalul furnizor de servicii sociale de la nivel județean. De serviciile centrelor DGASPC beneficiază în prezent circa 700 de persoane instituționalizate, la care se adaugă persoanele care beneficiază de servicii de zi (non-rezidențiale). </w:t>
      </w:r>
      <w:r w:rsidRPr="006A7F96">
        <w:t>Serviciile de Asistență Socială și Sănătate ale primăriilor din localitățile Babadag, Beștepe, Chilia Veche, Crișan, Frecăței, Isaccea, Jurilovca, Luncavița, Măcin, Mahmudia, Niculițel, Nufăru, Sfântu Gheorghe, Valea Nucarilor și Văcăreni oferă servicii de identificare a nevoii sociale individuale, familiale și de grup, iar cele ale localităților Luncavița, Nufăru și Văcăreni oferă și servicii de asistență și îngrijire la domiciliu pentru persoane cu handicap.</w:t>
      </w:r>
    </w:p>
    <w:p w:rsidR="00AC1066" w:rsidRDefault="00AC1066" w:rsidP="00CF36B4">
      <w:pPr>
        <w:jc w:val="both"/>
        <w:rPr>
          <w:rFonts w:cs="Arial"/>
          <w:bCs/>
        </w:rPr>
      </w:pPr>
      <w:r w:rsidRPr="006A7F96">
        <w:rPr>
          <w:rFonts w:cs="Arial"/>
          <w:bCs/>
        </w:rPr>
        <w:t xml:space="preserve">Cu toate acestea, starea de degradare a clădirilor și dotarea deficitară a unor centre sociale fac ca oferta de servicii oferită beneficiarilor să fie relativ restrânsă (de ex. servicii de ergoterapie pentru persoanele cu dizabilități), iar confortul beneficiarilor instituționalizați să fie redus, din cauza deficitului de spații de relaxare și petrecere a timpului liber. </w:t>
      </w:r>
    </w:p>
    <w:p w:rsidR="00A63DCF" w:rsidRDefault="00A63DCF" w:rsidP="00CF36B4">
      <w:pPr>
        <w:jc w:val="both"/>
        <w:rPr>
          <w:rFonts w:cs="Arial"/>
          <w:bCs/>
        </w:rPr>
      </w:pPr>
    </w:p>
    <w:p w:rsidR="00A63DCF" w:rsidRDefault="00A63DCF" w:rsidP="00CF36B4">
      <w:pPr>
        <w:jc w:val="both"/>
        <w:rPr>
          <w:rFonts w:cs="Arial"/>
          <w:bCs/>
        </w:rPr>
      </w:pPr>
    </w:p>
    <w:p w:rsidR="00A63DCF" w:rsidRDefault="00A63DCF" w:rsidP="00CF36B4">
      <w:pPr>
        <w:jc w:val="both"/>
        <w:rPr>
          <w:rFonts w:cs="Arial"/>
          <w:bCs/>
        </w:rPr>
      </w:pPr>
    </w:p>
    <w:p w:rsidR="00A63DCF" w:rsidRDefault="00A63DCF" w:rsidP="00CF36B4">
      <w:pPr>
        <w:jc w:val="both"/>
        <w:rPr>
          <w:rFonts w:cs="Arial"/>
          <w:bCs/>
        </w:rPr>
      </w:pPr>
    </w:p>
    <w:p w:rsidR="00A63DCF" w:rsidRDefault="00A63DCF" w:rsidP="00CF36B4">
      <w:pPr>
        <w:jc w:val="both"/>
        <w:rPr>
          <w:rFonts w:cs="Arial"/>
          <w:bCs/>
        </w:rPr>
      </w:pPr>
    </w:p>
    <w:p w:rsidR="00A63DCF" w:rsidRDefault="00A63DCF" w:rsidP="00CF36B4">
      <w:pPr>
        <w:jc w:val="both"/>
        <w:rPr>
          <w:rFonts w:cs="Arial"/>
          <w:bCs/>
        </w:rPr>
      </w:pPr>
    </w:p>
    <w:p w:rsidR="00A63DCF" w:rsidRPr="00A63DCF" w:rsidRDefault="00A63DCF" w:rsidP="00A63DCF">
      <w:pPr>
        <w:pStyle w:val="ListParagraph"/>
        <w:numPr>
          <w:ilvl w:val="0"/>
          <w:numId w:val="5"/>
        </w:numPr>
        <w:jc w:val="both"/>
        <w:rPr>
          <w:rFonts w:ascii="Times New Roman" w:hAnsi="Times New Roman" w:cs="Times New Roman"/>
          <w:b/>
          <w:bCs/>
          <w:iCs/>
          <w:color w:val="0070C0"/>
          <w:sz w:val="24"/>
          <w:szCs w:val="24"/>
        </w:rPr>
      </w:pPr>
      <w:r w:rsidRPr="00A63DCF">
        <w:rPr>
          <w:rFonts w:ascii="Times New Roman" w:hAnsi="Times New Roman" w:cs="Times New Roman"/>
          <w:b/>
          <w:bCs/>
          <w:iCs/>
          <w:color w:val="0070C0"/>
          <w:sz w:val="24"/>
          <w:szCs w:val="24"/>
        </w:rPr>
        <w:lastRenderedPageBreak/>
        <w:t>INDICATORI PE SECTOARE PRIORITARE</w:t>
      </w:r>
    </w:p>
    <w:p w:rsidR="00A63DCF" w:rsidRPr="00A63DCF" w:rsidRDefault="00A63DCF" w:rsidP="00A63DCF">
      <w:pPr>
        <w:pStyle w:val="DDSection"/>
        <w:spacing w:before="0"/>
        <w:rPr>
          <w:b w:val="0"/>
          <w:lang w:val="ro-RO"/>
        </w:rPr>
      </w:pPr>
    </w:p>
    <w:p w:rsidR="00A63DCF" w:rsidRPr="006A7F96" w:rsidRDefault="00A63DCF" w:rsidP="00A63DCF">
      <w:pPr>
        <w:pStyle w:val="DDSection"/>
        <w:spacing w:before="0"/>
        <w:rPr>
          <w:lang w:val="ro-RO"/>
        </w:rPr>
      </w:pPr>
      <w:r>
        <w:rPr>
          <w:lang w:val="ro-RO"/>
        </w:rPr>
        <w:t xml:space="preserve">Cap. </w:t>
      </w:r>
      <w:r w:rsidRPr="006A7F96">
        <w:rPr>
          <w:lang w:val="ro-RO"/>
        </w:rPr>
        <w:t>VII.4  Indicatori de monitorizare a obiectivelor pe sectoare prioritare</w:t>
      </w:r>
    </w:p>
    <w:p w:rsidR="00A63DCF" w:rsidRPr="006A7F96" w:rsidRDefault="00A63DCF" w:rsidP="00A63DCF">
      <w:pPr>
        <w:rPr>
          <w:b/>
          <w:bCs/>
          <w:color w:val="1F3864" w:themeColor="accent5" w:themeShade="80"/>
          <w:sz w:val="24"/>
          <w:szCs w:val="24"/>
        </w:rPr>
      </w:pPr>
      <w:r w:rsidRPr="006A7F96">
        <w:rPr>
          <w:b/>
          <w:bCs/>
          <w:color w:val="1F3864" w:themeColor="accent5" w:themeShade="80"/>
          <w:sz w:val="24"/>
          <w:szCs w:val="24"/>
        </w:rPr>
        <w:t>Pilonul I: Protejarea mediului și resurselor naturale</w:t>
      </w:r>
    </w:p>
    <w:p w:rsidR="00A63DCF" w:rsidRPr="00731BF5" w:rsidRDefault="00A63DCF" w:rsidP="00A63DCF">
      <w:pPr>
        <w:pStyle w:val="DDCaption"/>
        <w:jc w:val="center"/>
        <w:rPr>
          <w:lang w:val="ro-RO"/>
        </w:rPr>
      </w:pPr>
      <w:r w:rsidRPr="00731BF5">
        <w:rPr>
          <w:lang w:val="ro-RO"/>
        </w:rPr>
        <w:t>Tabelul 64: Indicatori de monitorizare</w:t>
      </w:r>
    </w:p>
    <w:tbl>
      <w:tblPr>
        <w:tblW w:w="0" w:type="auto"/>
        <w:tblBorders>
          <w:top w:val="single" w:sz="6" w:space="0" w:color="9CC2E5"/>
          <w:left w:val="single" w:sz="6" w:space="0" w:color="9CC2E5"/>
          <w:bottom w:val="single" w:sz="6" w:space="0" w:color="9CC2E5"/>
          <w:right w:val="single" w:sz="6" w:space="0" w:color="9CC2E5"/>
          <w:insideH w:val="single" w:sz="6" w:space="0" w:color="9CC2E5"/>
          <w:insideV w:val="single" w:sz="6" w:space="0" w:color="9CC2E5"/>
        </w:tblBorders>
        <w:tblLayout w:type="fixed"/>
        <w:tblLook w:val="01E0" w:firstRow="1" w:lastRow="1" w:firstColumn="1" w:lastColumn="1" w:noHBand="0" w:noVBand="0"/>
      </w:tblPr>
      <w:tblGrid>
        <w:gridCol w:w="1980"/>
        <w:gridCol w:w="7262"/>
      </w:tblGrid>
      <w:tr w:rsidR="00A63DCF" w:rsidRPr="006A7F96" w:rsidTr="008F6A03">
        <w:trPr>
          <w:trHeight w:val="360"/>
        </w:trPr>
        <w:tc>
          <w:tcPr>
            <w:tcW w:w="1980" w:type="dxa"/>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Domeniul</w:t>
            </w:r>
          </w:p>
        </w:tc>
        <w:tc>
          <w:tcPr>
            <w:tcW w:w="7262" w:type="dxa"/>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Indicatori</w:t>
            </w:r>
          </w:p>
        </w:tc>
      </w:tr>
      <w:tr w:rsidR="00A63DCF" w:rsidRPr="006A7F96" w:rsidTr="008F6A03">
        <w:trPr>
          <w:trHeight w:val="262"/>
        </w:trPr>
        <w:tc>
          <w:tcPr>
            <w:tcW w:w="1980" w:type="dxa"/>
            <w:shd w:val="clear" w:color="auto" w:fill="FFFFFF"/>
            <w:vAlign w:val="center"/>
          </w:tcPr>
          <w:p w:rsidR="00A63DCF" w:rsidRPr="006A7F96" w:rsidRDefault="00A63DCF" w:rsidP="008F6A03">
            <w:pPr>
              <w:spacing w:after="0" w:line="240" w:lineRule="auto"/>
              <w:rPr>
                <w:b/>
                <w:bCs/>
                <w:sz w:val="20"/>
              </w:rPr>
            </w:pPr>
            <w:r w:rsidRPr="006A7F96">
              <w:rPr>
                <w:b/>
                <w:bCs/>
                <w:sz w:val="20"/>
              </w:rPr>
              <w:t xml:space="preserve">Biodiversitate și managementul ecosistemelor </w:t>
            </w:r>
          </w:p>
        </w:tc>
        <w:tc>
          <w:tcPr>
            <w:tcW w:w="7262" w:type="dxa"/>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Plan de Management al Rezervaţiei Biosferei Delta Dunării aprobat şi după caz, actualizat în perioada de implementare a strategiei</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Număr de seturi de măsuri și acțiuni ale Rezervaţiei Biosferei Delta Dunării bazate pe date de monitorizare larg acceptate și pe modele hidrologice, de sedimentare și demografice de ultimă oră,  demarate şi implementate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Suprafața habitatelor sprijinite în vederea obținerii unui stadiu de conservare mai bun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Ponderea populațiilor de specii de pește valoroase din punct de vedere economic</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Număr de obiective de infrastructură esențială și obiective de interes economic din cadrul RBDD  protejate împotriva inundațiilor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măsuri/Iniţiative de actualizare a cadrului legislativ și de reglementare pentru managementul și utilizarea RBDD și a resurselor acesteia actualizate pentru a sprijini obiectivele participării sporite a comunității și stimulentele pentru protejare și refacere ecologică</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instituții și cercetători locali și internaționali implicaţi în programul diversificat de cercetare, recunoscut internațional, privind sistemele și resursele naturale și culturale ale DD</w:t>
            </w:r>
          </w:p>
        </w:tc>
      </w:tr>
      <w:tr w:rsidR="00A63DCF" w:rsidRPr="006A7F96" w:rsidTr="008F6A03">
        <w:trPr>
          <w:trHeight w:val="931"/>
        </w:trPr>
        <w:tc>
          <w:tcPr>
            <w:tcW w:w="1980" w:type="dxa"/>
            <w:shd w:val="clear" w:color="auto" w:fill="FFFFFF"/>
            <w:vAlign w:val="center"/>
          </w:tcPr>
          <w:p w:rsidR="00A63DCF" w:rsidRPr="006A7F96" w:rsidRDefault="00A63DCF" w:rsidP="008F6A03">
            <w:pPr>
              <w:spacing w:after="0" w:line="240" w:lineRule="auto"/>
              <w:rPr>
                <w:b/>
                <w:bCs/>
                <w:sz w:val="20"/>
              </w:rPr>
            </w:pPr>
            <w:r w:rsidRPr="006A7F96">
              <w:rPr>
                <w:b/>
                <w:bCs/>
                <w:sz w:val="20"/>
              </w:rPr>
              <w:t>Eficiență energetică</w:t>
            </w:r>
          </w:p>
          <w:p w:rsidR="00A63DCF" w:rsidRPr="006A7F96" w:rsidRDefault="00A63DCF" w:rsidP="008F6A03">
            <w:pPr>
              <w:spacing w:after="0" w:line="240" w:lineRule="auto"/>
              <w:rPr>
                <w:b/>
                <w:bCs/>
                <w:sz w:val="20"/>
              </w:rPr>
            </w:pPr>
          </w:p>
        </w:tc>
        <w:tc>
          <w:tcPr>
            <w:tcW w:w="7262" w:type="dxa"/>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Numărul de clădiri publice renovate și  consumul de energie finală în clădirile publice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Număr de clădiri rezidențiale renovate  și consumul de energie finală în sectorul rezidențial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Lungimea reţelei termice reabilitate / extinse </w:t>
            </w:r>
          </w:p>
          <w:p w:rsidR="00A63DCF" w:rsidRPr="006A7F96" w:rsidRDefault="00A63DCF" w:rsidP="00A63DCF">
            <w:pPr>
              <w:numPr>
                <w:ilvl w:val="0"/>
                <w:numId w:val="1"/>
              </w:numPr>
              <w:spacing w:after="0" w:line="240" w:lineRule="auto"/>
              <w:ind w:left="379"/>
              <w:jc w:val="both"/>
              <w:rPr>
                <w:rFonts w:eastAsia="ヒラギノ角ゴ Pro W3" w:cs="DINPro-Regular"/>
                <w:sz w:val="20"/>
              </w:rPr>
            </w:pPr>
            <w:r w:rsidRPr="006A7F96">
              <w:rPr>
                <w:rFonts w:eastAsia="Times New Roman"/>
                <w:sz w:val="20"/>
                <w:u w:color="000000"/>
                <w:bdr w:val="nil"/>
              </w:rPr>
              <w:t>Număr de utilizatori suplimentari de energie conectați la rețele inteligente</w:t>
            </w:r>
          </w:p>
        </w:tc>
      </w:tr>
      <w:tr w:rsidR="00A63DCF" w:rsidRPr="006A7F96" w:rsidTr="008F6A03">
        <w:trPr>
          <w:trHeight w:val="987"/>
        </w:trPr>
        <w:tc>
          <w:tcPr>
            <w:tcW w:w="1980" w:type="dxa"/>
            <w:shd w:val="clear" w:color="auto" w:fill="FFFFFF"/>
            <w:vAlign w:val="center"/>
          </w:tcPr>
          <w:p w:rsidR="00A63DCF" w:rsidRPr="006A7F96" w:rsidRDefault="00A63DCF" w:rsidP="008F6A03">
            <w:pPr>
              <w:spacing w:after="0" w:line="240" w:lineRule="auto"/>
              <w:rPr>
                <w:b/>
                <w:bCs/>
                <w:sz w:val="20"/>
              </w:rPr>
            </w:pPr>
            <w:r w:rsidRPr="006A7F96">
              <w:rPr>
                <w:b/>
                <w:bCs/>
                <w:sz w:val="20"/>
              </w:rPr>
              <w:t>Schimbări climatice</w:t>
            </w:r>
          </w:p>
          <w:p w:rsidR="00A63DCF" w:rsidRPr="006A7F96" w:rsidRDefault="00A63DCF" w:rsidP="008F6A03">
            <w:pPr>
              <w:spacing w:after="0" w:line="240" w:lineRule="auto"/>
              <w:rPr>
                <w:b/>
                <w:bCs/>
                <w:sz w:val="20"/>
              </w:rPr>
            </w:pPr>
          </w:p>
        </w:tc>
        <w:tc>
          <w:tcPr>
            <w:tcW w:w="7262" w:type="dxa"/>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Nivelul estimat al emisiilor de gaze cu efect de seră</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Producţia brută de energie primară din surse regenerabile mai puţin exploatate</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Nivelul de investiție în măsurile de adaptare la schimbările climatice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Numărul gospodăriilor cu o clasificare mai bună a consumului de energie</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Evoluția consumului anual de energie primară în clădirile publice</w:t>
            </w:r>
          </w:p>
        </w:tc>
      </w:tr>
      <w:tr w:rsidR="00A63DCF" w:rsidRPr="006A7F96" w:rsidTr="008F6A03">
        <w:trPr>
          <w:trHeight w:val="488"/>
        </w:trPr>
        <w:tc>
          <w:tcPr>
            <w:tcW w:w="1980" w:type="dxa"/>
            <w:shd w:val="clear" w:color="auto" w:fill="FFFFFF"/>
            <w:vAlign w:val="center"/>
          </w:tcPr>
          <w:p w:rsidR="00A63DCF" w:rsidRPr="006A7F96" w:rsidRDefault="00A63DCF" w:rsidP="008F6A03">
            <w:pPr>
              <w:spacing w:after="0" w:line="240" w:lineRule="auto"/>
              <w:rPr>
                <w:b/>
                <w:bCs/>
                <w:sz w:val="20"/>
              </w:rPr>
            </w:pPr>
            <w:r w:rsidRPr="006A7F96">
              <w:rPr>
                <w:b/>
                <w:bCs/>
                <w:sz w:val="20"/>
              </w:rPr>
              <w:t>Managementul riscului în caz de dezastre</w:t>
            </w:r>
          </w:p>
        </w:tc>
        <w:tc>
          <w:tcPr>
            <w:tcW w:w="7262" w:type="dxa"/>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locuitori care beneficiază de măsuri de protecție împotriva inundațiilor</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exerciții cu intervenție de urgență în caz de dezastru (anual)</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Timpul mediu de răspuns la situaţii de urgenţă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Inventar cu deșeuri periculoase și sistem de management al informațiilor existente (da sau nu) </w:t>
            </w:r>
          </w:p>
          <w:p w:rsidR="00A63DCF" w:rsidRPr="006A7F96" w:rsidRDefault="00A63DCF" w:rsidP="00A63DCF">
            <w:pPr>
              <w:numPr>
                <w:ilvl w:val="0"/>
                <w:numId w:val="1"/>
              </w:numPr>
              <w:spacing w:after="0" w:line="240" w:lineRule="auto"/>
              <w:ind w:left="379"/>
              <w:jc w:val="both"/>
              <w:rPr>
                <w:rFonts w:eastAsia="Times New Roman" w:cs="Times New Roman"/>
                <w:sz w:val="20"/>
              </w:rPr>
            </w:pPr>
            <w:r w:rsidRPr="006A7F96">
              <w:rPr>
                <w:rFonts w:eastAsia="Times New Roman"/>
                <w:sz w:val="20"/>
                <w:u w:color="000000"/>
                <w:bdr w:val="nil"/>
              </w:rPr>
              <w:t>Număr de planuri de intervenție disponibile</w:t>
            </w:r>
          </w:p>
        </w:tc>
      </w:tr>
      <w:tr w:rsidR="00A63DCF" w:rsidRPr="006A7F96" w:rsidTr="008F6A03">
        <w:trPr>
          <w:trHeight w:val="1268"/>
        </w:trPr>
        <w:tc>
          <w:tcPr>
            <w:tcW w:w="1980" w:type="dxa"/>
            <w:shd w:val="clear" w:color="auto" w:fill="FFFFFF"/>
            <w:vAlign w:val="center"/>
          </w:tcPr>
          <w:p w:rsidR="00A63DCF" w:rsidRPr="006A7F96" w:rsidRDefault="00A63DCF" w:rsidP="008F6A03">
            <w:pPr>
              <w:spacing w:after="0" w:line="240" w:lineRule="auto"/>
              <w:rPr>
                <w:b/>
                <w:bCs/>
                <w:sz w:val="20"/>
              </w:rPr>
            </w:pPr>
            <w:r w:rsidRPr="006A7F96">
              <w:rPr>
                <w:b/>
                <w:bCs/>
                <w:sz w:val="20"/>
              </w:rPr>
              <w:t xml:space="preserve">Situații de urgență asociate riscurilor de poluare </w:t>
            </w:r>
          </w:p>
        </w:tc>
        <w:tc>
          <w:tcPr>
            <w:tcW w:w="7262" w:type="dxa"/>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incidente de poluare în regiunea DD (anual)</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Număr de exerciții cu intervenție de urgență în caz de poluare (anual)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Durata medie pentru a opri incidentele de poluare (zile)</w:t>
            </w:r>
          </w:p>
          <w:p w:rsidR="00A63DCF" w:rsidRPr="006A7F96" w:rsidRDefault="00A63DCF" w:rsidP="00A63DCF">
            <w:pPr>
              <w:numPr>
                <w:ilvl w:val="0"/>
                <w:numId w:val="1"/>
              </w:numPr>
              <w:spacing w:after="0" w:line="240" w:lineRule="auto"/>
              <w:ind w:left="379"/>
              <w:jc w:val="both"/>
              <w:rPr>
                <w:rFonts w:eastAsia="Times New Roman" w:cs="Times New Roman"/>
                <w:sz w:val="20"/>
              </w:rPr>
            </w:pPr>
            <w:r w:rsidRPr="006A7F96">
              <w:rPr>
                <w:rFonts w:eastAsia="Times New Roman"/>
                <w:sz w:val="20"/>
                <w:u w:color="000000"/>
                <w:bdr w:val="nil"/>
              </w:rPr>
              <w:t xml:space="preserve">Număr de planuri de prevenire a poluării disponibile </w:t>
            </w:r>
          </w:p>
        </w:tc>
      </w:tr>
    </w:tbl>
    <w:p w:rsidR="00A63DCF" w:rsidRPr="006A7F96" w:rsidRDefault="00A63DCF" w:rsidP="00A63DCF">
      <w:pPr>
        <w:spacing w:before="240"/>
        <w:rPr>
          <w:b/>
          <w:bCs/>
          <w:color w:val="00B050"/>
          <w:sz w:val="24"/>
          <w:szCs w:val="24"/>
        </w:rPr>
      </w:pPr>
    </w:p>
    <w:p w:rsidR="00A63DCF" w:rsidRPr="006A7F96" w:rsidRDefault="00A63DCF" w:rsidP="00A63DCF">
      <w:pPr>
        <w:rPr>
          <w:b/>
          <w:bCs/>
          <w:color w:val="1F3864" w:themeColor="accent5" w:themeShade="80"/>
          <w:sz w:val="24"/>
          <w:szCs w:val="24"/>
        </w:rPr>
      </w:pPr>
    </w:p>
    <w:p w:rsidR="00A63DCF" w:rsidRPr="006A7F96" w:rsidRDefault="00A63DCF" w:rsidP="00A63DCF">
      <w:pPr>
        <w:rPr>
          <w:b/>
          <w:bCs/>
          <w:color w:val="1F3864" w:themeColor="accent5" w:themeShade="80"/>
          <w:sz w:val="24"/>
          <w:szCs w:val="24"/>
        </w:rPr>
      </w:pPr>
      <w:r w:rsidRPr="006A7F96">
        <w:rPr>
          <w:b/>
          <w:bCs/>
          <w:color w:val="1F3864" w:themeColor="accent5" w:themeShade="80"/>
          <w:sz w:val="24"/>
          <w:szCs w:val="24"/>
        </w:rPr>
        <w:t>Pilonul II: Îmbunătățirea economiei</w:t>
      </w:r>
    </w:p>
    <w:tbl>
      <w:tblPr>
        <w:tblW w:w="5000" w:type="pct"/>
        <w:tblBorders>
          <w:top w:val="single" w:sz="6" w:space="0" w:color="9CC2E5"/>
          <w:left w:val="single" w:sz="6" w:space="0" w:color="9CC2E5"/>
          <w:bottom w:val="single" w:sz="6" w:space="0" w:color="9CC2E5"/>
          <w:right w:val="single" w:sz="6" w:space="0" w:color="9CC2E5"/>
          <w:insideH w:val="single" w:sz="6" w:space="0" w:color="9CC2E5"/>
          <w:insideV w:val="single" w:sz="6" w:space="0" w:color="9CC2E5"/>
        </w:tblBorders>
        <w:tblLook w:val="01E0" w:firstRow="1" w:lastRow="1" w:firstColumn="1" w:lastColumn="1" w:noHBand="0" w:noVBand="0"/>
      </w:tblPr>
      <w:tblGrid>
        <w:gridCol w:w="2210"/>
        <w:gridCol w:w="7414"/>
      </w:tblGrid>
      <w:tr w:rsidR="00A63DCF" w:rsidRPr="006A7F96" w:rsidTr="008F6A03">
        <w:trPr>
          <w:trHeight w:val="271"/>
        </w:trPr>
        <w:tc>
          <w:tcPr>
            <w:tcW w:w="1148" w:type="pct"/>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lastRenderedPageBreak/>
              <w:t>Domeniul</w:t>
            </w:r>
          </w:p>
        </w:tc>
        <w:tc>
          <w:tcPr>
            <w:tcW w:w="3852" w:type="pct"/>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Indicatori</w:t>
            </w:r>
          </w:p>
        </w:tc>
      </w:tr>
      <w:tr w:rsidR="00A63DCF" w:rsidRPr="006A7F96" w:rsidTr="008F6A03">
        <w:trPr>
          <w:trHeight w:val="1208"/>
        </w:trPr>
        <w:tc>
          <w:tcPr>
            <w:tcW w:w="1148" w:type="pct"/>
            <w:shd w:val="clear" w:color="auto" w:fill="FFFFFF"/>
            <w:vAlign w:val="center"/>
          </w:tcPr>
          <w:p w:rsidR="00A63DCF" w:rsidRPr="006A7F96" w:rsidRDefault="00A63DCF" w:rsidP="008F6A03">
            <w:pPr>
              <w:spacing w:after="0" w:line="240" w:lineRule="auto"/>
              <w:rPr>
                <w:b/>
                <w:bCs/>
                <w:sz w:val="20"/>
              </w:rPr>
            </w:pPr>
            <w:r w:rsidRPr="006A7F96">
              <w:rPr>
                <w:b/>
                <w:bCs/>
                <w:sz w:val="20"/>
              </w:rPr>
              <w:t xml:space="preserve">Turism </w:t>
            </w:r>
          </w:p>
          <w:p w:rsidR="00A63DCF" w:rsidRPr="006A7F96" w:rsidRDefault="00A63DCF" w:rsidP="008F6A03">
            <w:pPr>
              <w:spacing w:after="0" w:line="240" w:lineRule="auto"/>
              <w:rPr>
                <w:b/>
                <w:bCs/>
                <w:sz w:val="20"/>
              </w:rPr>
            </w:pPr>
          </w:p>
        </w:tc>
        <w:tc>
          <w:tcPr>
            <w:tcW w:w="3852" w:type="pct"/>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Sosiri ale turiștilor pe lună (distribuție pe an)</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permise de intrare în RBDD</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ambarcatiuni disponibile pentru turiști la principalele puncte de ieșire și puncte nodale (rute monitorizate)</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Ratele de ocupare pentru cazările autorizate / oficiale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Cheltuielile medii pe un turist  într-un sejur</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Durata medie a sejurului  (nopți))</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Ponderea structurilor de cazare turistice deschise tot anul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și pondere din locurile de muncă în turism (locurile de muncă permanente vs. temporare)</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Gradul de satisfacție a vizitatorilor privind serviciile turistice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Percepția raportului calitate/preț</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Gradul în care vizitatorii revin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Număr de locuitori ocupați  în turism (locuri de muncă directe și indirecte, raportul dintre locurile de muncă în turism și totalul locurilor de muncă)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Venituri generate de turism raportate la veniturile totale generate în economia locală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case tradiționale mentinute/reabilitate incluse in circuitul turistic</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Gradul de satisfacție a locuitorilor privind dezvoltarea turismului în zonă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Proporția produselor si serviciilor locale din totalul produselor si serviciilor </w:t>
            </w:r>
          </w:p>
          <w:p w:rsidR="00A63DCF" w:rsidRPr="006A7F96" w:rsidRDefault="00A63DCF" w:rsidP="00A63DCF">
            <w:pPr>
              <w:numPr>
                <w:ilvl w:val="0"/>
                <w:numId w:val="1"/>
              </w:numPr>
              <w:spacing w:after="0" w:line="240" w:lineRule="auto"/>
              <w:ind w:left="379"/>
              <w:jc w:val="both"/>
              <w:rPr>
                <w:rFonts w:eastAsia="Times New Roman"/>
                <w:sz w:val="20"/>
              </w:rPr>
            </w:pPr>
            <w:r w:rsidRPr="006A7F96">
              <w:rPr>
                <w:rFonts w:eastAsia="Times New Roman"/>
                <w:sz w:val="20"/>
                <w:u w:color="000000"/>
                <w:bdr w:val="nil"/>
              </w:rPr>
              <w:t>Raportul dintre rezidenții și nerezidenții ce dețin terenuri / imobile în DD</w:t>
            </w:r>
          </w:p>
        </w:tc>
      </w:tr>
      <w:tr w:rsidR="00A63DCF" w:rsidRPr="006A7F96" w:rsidTr="008F6A03">
        <w:trPr>
          <w:trHeight w:val="850"/>
        </w:trPr>
        <w:tc>
          <w:tcPr>
            <w:tcW w:w="1148" w:type="pct"/>
            <w:shd w:val="clear" w:color="auto" w:fill="FFFFFF"/>
            <w:vAlign w:val="center"/>
          </w:tcPr>
          <w:p w:rsidR="00A63DCF" w:rsidRPr="006A7F96" w:rsidRDefault="00A63DCF" w:rsidP="008F6A03">
            <w:pPr>
              <w:spacing w:after="0" w:line="240" w:lineRule="auto"/>
              <w:rPr>
                <w:b/>
                <w:bCs/>
                <w:sz w:val="20"/>
              </w:rPr>
            </w:pPr>
            <w:r w:rsidRPr="006A7F96">
              <w:rPr>
                <w:b/>
                <w:bCs/>
                <w:sz w:val="20"/>
              </w:rPr>
              <w:t xml:space="preserve">Pescuit și acvacultură </w:t>
            </w:r>
          </w:p>
          <w:p w:rsidR="00A63DCF" w:rsidRPr="006A7F96" w:rsidRDefault="00A63DCF" w:rsidP="008F6A03">
            <w:pPr>
              <w:spacing w:after="0" w:line="240" w:lineRule="auto"/>
              <w:rPr>
                <w:b/>
                <w:bCs/>
                <w:sz w:val="20"/>
              </w:rPr>
            </w:pPr>
          </w:p>
        </w:tc>
        <w:tc>
          <w:tcPr>
            <w:tcW w:w="3852" w:type="pct"/>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locurilor de muncă din domeniul pescăresc pe activități specifice</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Mărimea populațiilor de specii de pești răpitori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Dinamica populației de caras</w:t>
            </w:r>
          </w:p>
          <w:p w:rsidR="00A63DCF" w:rsidRPr="006A7F96" w:rsidRDefault="00A63DCF" w:rsidP="00A63DCF">
            <w:pPr>
              <w:numPr>
                <w:ilvl w:val="0"/>
                <w:numId w:val="1"/>
              </w:numPr>
              <w:spacing w:after="0" w:line="240" w:lineRule="auto"/>
              <w:ind w:left="379"/>
              <w:jc w:val="both"/>
              <w:rPr>
                <w:sz w:val="20"/>
              </w:rPr>
            </w:pPr>
            <w:r w:rsidRPr="006A7F96">
              <w:rPr>
                <w:rFonts w:eastAsia="Times New Roman"/>
                <w:sz w:val="20"/>
                <w:u w:color="000000"/>
                <w:bdr w:val="nil"/>
              </w:rPr>
              <w:t>Număr de investiții/proiecte în acvacultură</w:t>
            </w:r>
          </w:p>
        </w:tc>
      </w:tr>
      <w:tr w:rsidR="00A63DCF" w:rsidRPr="006A7F96" w:rsidTr="008F6A03">
        <w:trPr>
          <w:trHeight w:val="3237"/>
        </w:trPr>
        <w:tc>
          <w:tcPr>
            <w:tcW w:w="1148" w:type="pct"/>
            <w:shd w:val="clear" w:color="auto" w:fill="FFFFFF"/>
            <w:vAlign w:val="center"/>
          </w:tcPr>
          <w:p w:rsidR="00A63DCF" w:rsidRPr="006A7F96" w:rsidRDefault="00A63DCF" w:rsidP="008F6A03">
            <w:pPr>
              <w:spacing w:after="0" w:line="240" w:lineRule="auto"/>
              <w:rPr>
                <w:b/>
                <w:bCs/>
                <w:sz w:val="20"/>
              </w:rPr>
            </w:pPr>
            <w:r w:rsidRPr="006A7F96">
              <w:rPr>
                <w:b/>
                <w:bCs/>
                <w:sz w:val="20"/>
              </w:rPr>
              <w:t>Agricultură și dezvoltare rurală</w:t>
            </w:r>
          </w:p>
          <w:p w:rsidR="00A63DCF" w:rsidRPr="006A7F96" w:rsidRDefault="00A63DCF" w:rsidP="008F6A03">
            <w:pPr>
              <w:spacing w:after="0" w:line="240" w:lineRule="auto"/>
              <w:rPr>
                <w:b/>
                <w:bCs/>
                <w:sz w:val="20"/>
              </w:rPr>
            </w:pPr>
          </w:p>
        </w:tc>
        <w:tc>
          <w:tcPr>
            <w:tcW w:w="3852" w:type="pct"/>
            <w:shd w:val="clear" w:color="auto" w:fill="FFFFFF"/>
            <w:vAlign w:val="center"/>
          </w:tcPr>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Număr de fermieri/asociații cu acces la rețele de promovare</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Număr de paticipanți la programe de educație / formare profesională</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Ponderea infrastructurii de irigații reabilitate din totalul infrastructurii de irigații viabile (%)</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 xml:space="preserve">Suprafața  de teren neproductiv împădurit </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 xml:space="preserve">Număr de intervenții de protecție împotriva inundațiilor </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 xml:space="preserve">% de teren acordat fermierilor din totalul terenului public disponibil </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 de fermieri care au intrat într-o schemă pentru micii fermieri</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 de fermieri care au deschis o activitate non-agicolă</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 de inițiative/proiecte care valorifică patrimoniul cultural al zonei</w:t>
            </w:r>
          </w:p>
          <w:p w:rsidR="00A63DCF" w:rsidRPr="006A7F96" w:rsidRDefault="00A63DCF" w:rsidP="00A63DCF">
            <w:pPr>
              <w:numPr>
                <w:ilvl w:val="0"/>
                <w:numId w:val="1"/>
              </w:numPr>
              <w:pBdr>
                <w:top w:val="nil"/>
                <w:left w:val="nil"/>
                <w:bottom w:val="nil"/>
                <w:right w:val="nil"/>
                <w:between w:val="nil"/>
                <w:bar w:val="nil"/>
              </w:pBdr>
              <w:spacing w:after="0" w:line="240" w:lineRule="auto"/>
              <w:ind w:left="379"/>
              <w:jc w:val="both"/>
              <w:rPr>
                <w:rFonts w:eastAsia="Times New Roman"/>
                <w:sz w:val="20"/>
                <w:u w:color="000000"/>
                <w:bdr w:val="nil"/>
              </w:rPr>
            </w:pPr>
            <w:r w:rsidRPr="006A7F96">
              <w:rPr>
                <w:rFonts w:eastAsia="Times New Roman"/>
                <w:sz w:val="20"/>
                <w:u w:color="000000"/>
                <w:bdr w:val="nil"/>
              </w:rPr>
              <w:t xml:space="preserve">% din infrastructura comunală și sătească modernizată  </w:t>
            </w:r>
          </w:p>
        </w:tc>
      </w:tr>
    </w:tbl>
    <w:p w:rsidR="00A63DCF" w:rsidRDefault="00A63DCF" w:rsidP="00A63DCF">
      <w:pPr>
        <w:rPr>
          <w:b/>
          <w:bCs/>
          <w:color w:val="1F3864" w:themeColor="accent5" w:themeShade="80"/>
          <w:sz w:val="24"/>
          <w:szCs w:val="24"/>
        </w:rPr>
      </w:pPr>
    </w:p>
    <w:p w:rsidR="00A63DCF" w:rsidRDefault="00A63DCF" w:rsidP="00A63DCF">
      <w:pPr>
        <w:rPr>
          <w:b/>
          <w:bCs/>
          <w:color w:val="1F3864" w:themeColor="accent5" w:themeShade="80"/>
          <w:sz w:val="24"/>
          <w:szCs w:val="24"/>
        </w:rPr>
      </w:pPr>
    </w:p>
    <w:p w:rsidR="00A63DCF" w:rsidRPr="006A7F96" w:rsidRDefault="00A63DCF" w:rsidP="00A63DCF">
      <w:pPr>
        <w:rPr>
          <w:b/>
          <w:bCs/>
          <w:color w:val="1F3864" w:themeColor="accent5" w:themeShade="80"/>
          <w:sz w:val="24"/>
          <w:szCs w:val="24"/>
        </w:rPr>
      </w:pPr>
    </w:p>
    <w:p w:rsidR="00A63DCF" w:rsidRPr="006A7F96" w:rsidRDefault="00A63DCF" w:rsidP="00A63DCF">
      <w:pPr>
        <w:rPr>
          <w:b/>
          <w:bCs/>
          <w:color w:val="1F3864" w:themeColor="accent5" w:themeShade="80"/>
          <w:sz w:val="24"/>
          <w:szCs w:val="24"/>
        </w:rPr>
      </w:pPr>
      <w:r w:rsidRPr="006A7F96">
        <w:rPr>
          <w:b/>
          <w:bCs/>
          <w:color w:val="1F3864" w:themeColor="accent5" w:themeShade="80"/>
          <w:sz w:val="24"/>
          <w:szCs w:val="24"/>
        </w:rPr>
        <w:t>Pilonul III: Îmbunătățirea conectivității</w:t>
      </w:r>
    </w:p>
    <w:tbl>
      <w:tblPr>
        <w:tblW w:w="5000" w:type="pct"/>
        <w:tblBorders>
          <w:top w:val="single" w:sz="6" w:space="0" w:color="9CC2E5"/>
          <w:left w:val="single" w:sz="6" w:space="0" w:color="9CC2E5"/>
          <w:bottom w:val="single" w:sz="6" w:space="0" w:color="9CC2E5"/>
          <w:right w:val="single" w:sz="6" w:space="0" w:color="9CC2E5"/>
          <w:insideH w:val="single" w:sz="6" w:space="0" w:color="9CC2E5"/>
          <w:insideV w:val="single" w:sz="6" w:space="0" w:color="9CC2E5"/>
        </w:tblBorders>
        <w:tblLook w:val="01E0" w:firstRow="1" w:lastRow="1" w:firstColumn="1" w:lastColumn="1" w:noHBand="0" w:noVBand="0"/>
      </w:tblPr>
      <w:tblGrid>
        <w:gridCol w:w="2156"/>
        <w:gridCol w:w="7468"/>
      </w:tblGrid>
      <w:tr w:rsidR="00A63DCF" w:rsidRPr="006A7F96" w:rsidTr="008F6A03">
        <w:trPr>
          <w:trHeight w:val="271"/>
        </w:trPr>
        <w:tc>
          <w:tcPr>
            <w:tcW w:w="1120" w:type="pct"/>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Domeniul</w:t>
            </w:r>
          </w:p>
        </w:tc>
        <w:tc>
          <w:tcPr>
            <w:tcW w:w="3880" w:type="pct"/>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 xml:space="preserve">Indicatori </w:t>
            </w:r>
          </w:p>
        </w:tc>
      </w:tr>
      <w:tr w:rsidR="00A63DCF" w:rsidRPr="006A7F96" w:rsidTr="008F6A03">
        <w:trPr>
          <w:trHeight w:val="518"/>
        </w:trPr>
        <w:tc>
          <w:tcPr>
            <w:tcW w:w="1120" w:type="pct"/>
            <w:shd w:val="clear" w:color="auto" w:fill="FFFFFF"/>
            <w:vAlign w:val="center"/>
          </w:tcPr>
          <w:p w:rsidR="00A63DCF" w:rsidRPr="006A7F96" w:rsidRDefault="00A63DCF" w:rsidP="008F6A03">
            <w:pPr>
              <w:spacing w:after="0" w:line="240" w:lineRule="auto"/>
              <w:rPr>
                <w:b/>
                <w:bCs/>
                <w:sz w:val="20"/>
              </w:rPr>
            </w:pPr>
            <w:r w:rsidRPr="006A7F96">
              <w:rPr>
                <w:b/>
                <w:bCs/>
                <w:sz w:val="20"/>
              </w:rPr>
              <w:t>Transport</w:t>
            </w:r>
          </w:p>
        </w:tc>
        <w:tc>
          <w:tcPr>
            <w:tcW w:w="3880" w:type="pct"/>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Durată de călătorie între Tulcea și municipiile Constanța, Brăila, Galați</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Volum de mărfuri transportate pe căi navigabile interioare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Volum de mărfuri containerizat manipulat în unităţi de transport intermodal</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pasageri îmbarcaţi şi debarcaţi în transportul aeroportuar</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Durată de călătorie între toate localitățile și municipiile reședință de județ</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intervenții privind accesul îmbunătățit la principalele servicii pe timpul iernii</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lastRenderedPageBreak/>
              <w:t>Numărul de ambarcațiuni publice și private puse la dispoziția călătorilor</w:t>
            </w:r>
          </w:p>
        </w:tc>
      </w:tr>
      <w:tr w:rsidR="00A63DCF" w:rsidRPr="006A7F96" w:rsidTr="008F6A03">
        <w:trPr>
          <w:trHeight w:val="669"/>
        </w:trPr>
        <w:tc>
          <w:tcPr>
            <w:tcW w:w="1120" w:type="pct"/>
            <w:shd w:val="clear" w:color="auto" w:fill="FFFFFF"/>
            <w:vAlign w:val="center"/>
          </w:tcPr>
          <w:p w:rsidR="00A63DCF" w:rsidRPr="006A7F96" w:rsidRDefault="00A63DCF" w:rsidP="008F6A03">
            <w:pPr>
              <w:spacing w:after="0" w:line="240" w:lineRule="auto"/>
              <w:rPr>
                <w:b/>
                <w:bCs/>
                <w:sz w:val="20"/>
              </w:rPr>
            </w:pPr>
            <w:r w:rsidRPr="006A7F96">
              <w:rPr>
                <w:b/>
                <w:bCs/>
                <w:sz w:val="20"/>
              </w:rPr>
              <w:lastRenderedPageBreak/>
              <w:t>Tehnologia informației și comunicațiilor</w:t>
            </w:r>
          </w:p>
        </w:tc>
        <w:tc>
          <w:tcPr>
            <w:tcW w:w="3880" w:type="pct"/>
            <w:shd w:val="clear" w:color="auto" w:fill="FFFFFF"/>
            <w:vAlign w:val="center"/>
          </w:tcPr>
          <w:p w:rsidR="00A63DCF" w:rsidRPr="006A7F96" w:rsidRDefault="00A63DCF" w:rsidP="00A63DCF">
            <w:pPr>
              <w:numPr>
                <w:ilvl w:val="0"/>
                <w:numId w:val="1"/>
              </w:numPr>
              <w:spacing w:after="0" w:line="240" w:lineRule="auto"/>
              <w:jc w:val="both"/>
              <w:rPr>
                <w:rFonts w:eastAsia="Times New Roman" w:cs="Arial"/>
                <w:sz w:val="20"/>
                <w:u w:color="000000"/>
                <w:bdr w:val="nil"/>
              </w:rPr>
            </w:pPr>
            <w:r w:rsidRPr="006A7F96">
              <w:rPr>
                <w:rFonts w:eastAsia="Times New Roman" w:cs="Arial"/>
                <w:sz w:val="20"/>
                <w:u w:color="000000"/>
                <w:bdr w:val="nil"/>
              </w:rPr>
              <w:t>Gradul de utilizare cu regularitate a internetului de către populația zonei</w:t>
            </w:r>
          </w:p>
          <w:p w:rsidR="00A63DCF" w:rsidRPr="006A7F96" w:rsidRDefault="00A63DCF" w:rsidP="00A63DCF">
            <w:pPr>
              <w:numPr>
                <w:ilvl w:val="0"/>
                <w:numId w:val="1"/>
              </w:numPr>
              <w:spacing w:after="0" w:line="240" w:lineRule="auto"/>
              <w:jc w:val="both"/>
              <w:rPr>
                <w:rFonts w:eastAsia="Times New Roman" w:cs="Arial"/>
                <w:sz w:val="20"/>
                <w:u w:color="000000"/>
                <w:bdr w:val="nil"/>
              </w:rPr>
            </w:pPr>
            <w:r w:rsidRPr="006A7F96">
              <w:rPr>
                <w:rFonts w:eastAsia="Times New Roman" w:cs="Arial"/>
                <w:sz w:val="20"/>
                <w:u w:color="000000"/>
                <w:bdr w:val="nil"/>
              </w:rPr>
              <w:t>Acoperire/disponibilitate în bandă largă NGA</w:t>
            </w:r>
          </w:p>
          <w:p w:rsidR="00A63DCF" w:rsidRPr="006A7F96" w:rsidRDefault="00A63DCF" w:rsidP="00A63DCF">
            <w:pPr>
              <w:numPr>
                <w:ilvl w:val="0"/>
                <w:numId w:val="1"/>
              </w:numPr>
              <w:spacing w:after="0" w:line="240" w:lineRule="auto"/>
              <w:jc w:val="both"/>
              <w:rPr>
                <w:rFonts w:eastAsia="Times New Roman" w:cs="Arial"/>
                <w:sz w:val="20"/>
                <w:u w:color="000000"/>
                <w:bdr w:val="nil"/>
              </w:rPr>
            </w:pPr>
            <w:r w:rsidRPr="006A7F96">
              <w:rPr>
                <w:rFonts w:eastAsia="Times New Roman" w:cs="Arial"/>
                <w:sz w:val="20"/>
                <w:u w:color="000000"/>
                <w:bdr w:val="nil"/>
              </w:rPr>
              <w:t>Număr de locuitori care utilizează sistemele e-guvernare</w:t>
            </w:r>
          </w:p>
          <w:p w:rsidR="00A63DCF" w:rsidRPr="006A7F96" w:rsidRDefault="00A63DCF" w:rsidP="00A63DCF">
            <w:pPr>
              <w:numPr>
                <w:ilvl w:val="0"/>
                <w:numId w:val="1"/>
              </w:numPr>
              <w:spacing w:after="0" w:line="240" w:lineRule="auto"/>
              <w:jc w:val="both"/>
              <w:rPr>
                <w:rFonts w:eastAsia="Times New Roman" w:cs="Arial"/>
                <w:sz w:val="20"/>
                <w:u w:color="000000"/>
                <w:bdr w:val="nil"/>
              </w:rPr>
            </w:pPr>
            <w:r w:rsidRPr="006A7F96">
              <w:rPr>
                <w:rFonts w:eastAsia="Times New Roman" w:cs="Arial"/>
                <w:sz w:val="20"/>
                <w:u w:color="000000"/>
                <w:bdr w:val="nil"/>
              </w:rPr>
              <w:t>Număr de școli care utilizează OER, WEB 2.0 în educație</w:t>
            </w:r>
          </w:p>
          <w:p w:rsidR="00A63DCF" w:rsidRPr="006A7F96" w:rsidRDefault="00A63DCF" w:rsidP="00A63DCF">
            <w:pPr>
              <w:numPr>
                <w:ilvl w:val="0"/>
                <w:numId w:val="1"/>
              </w:numPr>
              <w:spacing w:after="0" w:line="240" w:lineRule="auto"/>
              <w:jc w:val="both"/>
              <w:rPr>
                <w:rFonts w:eastAsia="Times New Roman" w:cs="Arial"/>
                <w:sz w:val="20"/>
                <w:u w:color="000000"/>
                <w:bdr w:val="nil"/>
              </w:rPr>
            </w:pPr>
            <w:r w:rsidRPr="006A7F96">
              <w:rPr>
                <w:rFonts w:eastAsia="Times New Roman" w:cs="Arial"/>
                <w:sz w:val="20"/>
                <w:u w:color="000000"/>
                <w:bdr w:val="nil"/>
              </w:rPr>
              <w:t>Număr de unități prespitalicești și spitalicești care utilizează sisteme de telemedicină</w:t>
            </w:r>
          </w:p>
          <w:p w:rsidR="00A63DCF" w:rsidRPr="006A7F96" w:rsidRDefault="00A63DCF" w:rsidP="00A63DCF">
            <w:pPr>
              <w:numPr>
                <w:ilvl w:val="0"/>
                <w:numId w:val="1"/>
              </w:numPr>
              <w:spacing w:after="0" w:line="240" w:lineRule="auto"/>
              <w:jc w:val="both"/>
              <w:rPr>
                <w:rFonts w:eastAsia="Arial Unicode MS" w:cs="Arial Unicode MS"/>
                <w:sz w:val="20"/>
                <w:u w:color="000000"/>
                <w:bdr w:val="nil"/>
              </w:rPr>
            </w:pPr>
            <w:r w:rsidRPr="006A7F96">
              <w:rPr>
                <w:rFonts w:eastAsia="Times New Roman" w:cs="Arial"/>
                <w:sz w:val="20"/>
                <w:u w:color="000000"/>
                <w:bdr w:val="nil"/>
              </w:rPr>
              <w:t>Număr de puncte de acces public la informații (PAPI) nou înființate</w:t>
            </w:r>
          </w:p>
        </w:tc>
      </w:tr>
    </w:tbl>
    <w:p w:rsidR="00A63DCF" w:rsidRDefault="00A63DCF" w:rsidP="00A63DCF">
      <w:pPr>
        <w:rPr>
          <w:b/>
          <w:bCs/>
          <w:color w:val="1F3864" w:themeColor="accent5" w:themeShade="80"/>
          <w:sz w:val="24"/>
          <w:szCs w:val="24"/>
        </w:rPr>
      </w:pPr>
    </w:p>
    <w:p w:rsidR="00A63DCF" w:rsidRDefault="00A63DCF" w:rsidP="00A63DCF">
      <w:pPr>
        <w:rPr>
          <w:b/>
          <w:bCs/>
          <w:color w:val="1F3864" w:themeColor="accent5" w:themeShade="80"/>
          <w:sz w:val="24"/>
          <w:szCs w:val="24"/>
        </w:rPr>
      </w:pPr>
    </w:p>
    <w:p w:rsidR="00A63DCF" w:rsidRPr="006A7F96" w:rsidRDefault="00A63DCF" w:rsidP="00A63DCF">
      <w:pPr>
        <w:rPr>
          <w:b/>
          <w:bCs/>
          <w:color w:val="1F3864" w:themeColor="accent5" w:themeShade="80"/>
          <w:sz w:val="24"/>
          <w:szCs w:val="24"/>
        </w:rPr>
      </w:pPr>
      <w:r w:rsidRPr="006A7F96">
        <w:rPr>
          <w:b/>
          <w:bCs/>
          <w:color w:val="1F3864" w:themeColor="accent5" w:themeShade="80"/>
          <w:sz w:val="24"/>
          <w:szCs w:val="24"/>
        </w:rPr>
        <w:t>Pilonul IV: Asigurarea serviciilor publice</w:t>
      </w:r>
    </w:p>
    <w:tbl>
      <w:tblPr>
        <w:tblW w:w="5000" w:type="pct"/>
        <w:tblBorders>
          <w:top w:val="single" w:sz="6" w:space="0" w:color="9CC2E5"/>
          <w:left w:val="single" w:sz="6" w:space="0" w:color="9CC2E5"/>
          <w:bottom w:val="single" w:sz="6" w:space="0" w:color="9CC2E5"/>
          <w:right w:val="single" w:sz="6" w:space="0" w:color="9CC2E5"/>
          <w:insideH w:val="single" w:sz="6" w:space="0" w:color="9CC2E5"/>
          <w:insideV w:val="single" w:sz="6" w:space="0" w:color="9CC2E5"/>
        </w:tblBorders>
        <w:tblLook w:val="01E0" w:firstRow="1" w:lastRow="1" w:firstColumn="1" w:lastColumn="1" w:noHBand="0" w:noVBand="0"/>
      </w:tblPr>
      <w:tblGrid>
        <w:gridCol w:w="2223"/>
        <w:gridCol w:w="7401"/>
      </w:tblGrid>
      <w:tr w:rsidR="00A63DCF" w:rsidRPr="006A7F96" w:rsidTr="008F6A03">
        <w:trPr>
          <w:trHeight w:val="135"/>
        </w:trPr>
        <w:tc>
          <w:tcPr>
            <w:tcW w:w="1155" w:type="pct"/>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Domeniul</w:t>
            </w:r>
          </w:p>
        </w:tc>
        <w:tc>
          <w:tcPr>
            <w:tcW w:w="3845" w:type="pct"/>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Indicatori</w:t>
            </w:r>
          </w:p>
        </w:tc>
      </w:tr>
      <w:tr w:rsidR="00A63DCF" w:rsidRPr="006A7F96" w:rsidTr="008F6A03">
        <w:trPr>
          <w:trHeight w:val="422"/>
        </w:trPr>
        <w:tc>
          <w:tcPr>
            <w:tcW w:w="1155" w:type="pct"/>
            <w:shd w:val="clear" w:color="auto" w:fill="FFFFFF"/>
            <w:vAlign w:val="center"/>
          </w:tcPr>
          <w:p w:rsidR="00A63DCF" w:rsidRPr="006A7F96" w:rsidRDefault="00A63DCF" w:rsidP="008F6A03">
            <w:pPr>
              <w:spacing w:after="0" w:line="240" w:lineRule="auto"/>
              <w:rPr>
                <w:rFonts w:eastAsia="Times New Roman"/>
                <w:b/>
                <w:bCs/>
                <w:sz w:val="20"/>
              </w:rPr>
            </w:pPr>
            <w:r w:rsidRPr="006A7F96">
              <w:rPr>
                <w:b/>
                <w:bCs/>
                <w:sz w:val="20"/>
              </w:rPr>
              <w:t>Alimentare cu apă și canalizare / managementul integrat al apei</w:t>
            </w:r>
          </w:p>
        </w:tc>
        <w:tc>
          <w:tcPr>
            <w:tcW w:w="3845" w:type="pct"/>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Ponderea populației racordate la rețelele centralizate de alimentare cu apă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Ponderea populației racordate la rețelele centralizate de canalizare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Ponderea apelor uzate tratate conform cu standardele cerute (%)</w:t>
            </w:r>
          </w:p>
        </w:tc>
      </w:tr>
      <w:tr w:rsidR="00A63DCF" w:rsidRPr="006A7F96" w:rsidTr="008F6A03">
        <w:trPr>
          <w:trHeight w:val="890"/>
        </w:trPr>
        <w:tc>
          <w:tcPr>
            <w:tcW w:w="1155" w:type="pct"/>
            <w:shd w:val="clear" w:color="auto" w:fill="FFFFFF"/>
            <w:vAlign w:val="center"/>
          </w:tcPr>
          <w:p w:rsidR="00A63DCF" w:rsidRPr="006A7F96" w:rsidRDefault="00A63DCF" w:rsidP="008F6A03">
            <w:pPr>
              <w:spacing w:after="0" w:line="240" w:lineRule="auto"/>
              <w:rPr>
                <w:rFonts w:eastAsia="Times New Roman"/>
                <w:b/>
                <w:bCs/>
                <w:sz w:val="20"/>
              </w:rPr>
            </w:pPr>
            <w:r w:rsidRPr="006A7F96">
              <w:rPr>
                <w:b/>
                <w:bCs/>
                <w:sz w:val="20"/>
              </w:rPr>
              <w:t xml:space="preserve">Managementul  deșeurilor </w:t>
            </w:r>
          </w:p>
        </w:tc>
        <w:tc>
          <w:tcPr>
            <w:tcW w:w="3845" w:type="pct"/>
            <w:shd w:val="clear" w:color="auto" w:fill="FFFFFF"/>
            <w:vAlign w:val="center"/>
          </w:tcPr>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Cantitatea totală de deșeuri menajere colectată și transportată (tone/an)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Rata globală de reciclare a deșeurilor menajere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Capacitate suplimentară de recuperare a deşeurilor (exclusiv reciclare)</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Cantitatea de deşeuri biodegradabile depozitată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 xml:space="preserve">Cantitatea totală de deșeuri menajere colectate separat (de exemplu hârtie și carton, mase plastice, sticlă, metale, lemn) (tone/an) </w:t>
            </w:r>
          </w:p>
          <w:p w:rsidR="00A63DCF" w:rsidRPr="006A7F96" w:rsidRDefault="00A63DCF" w:rsidP="00A63DCF">
            <w:pPr>
              <w:numPr>
                <w:ilvl w:val="0"/>
                <w:numId w:val="1"/>
              </w:numPr>
              <w:spacing w:after="0" w:line="240" w:lineRule="auto"/>
              <w:ind w:left="379"/>
              <w:jc w:val="both"/>
              <w:rPr>
                <w:rFonts w:eastAsia="Times New Roman"/>
                <w:sz w:val="20"/>
                <w:u w:color="000000"/>
                <w:bdr w:val="nil"/>
              </w:rPr>
            </w:pPr>
            <w:r w:rsidRPr="006A7F96">
              <w:rPr>
                <w:rFonts w:eastAsia="Times New Roman"/>
                <w:sz w:val="20"/>
                <w:u w:color="000000"/>
                <w:bdr w:val="nil"/>
              </w:rPr>
              <w:t>Număr de locuitori și vizitatori care participă la activitățile educative legate de gestionarea deșeurilor (număr de persoane)</w:t>
            </w:r>
          </w:p>
        </w:tc>
      </w:tr>
      <w:tr w:rsidR="00A63DCF" w:rsidRPr="006A7F96" w:rsidTr="008F6A03">
        <w:trPr>
          <w:trHeight w:val="270"/>
        </w:trPr>
        <w:tc>
          <w:tcPr>
            <w:tcW w:w="1155" w:type="pct"/>
            <w:shd w:val="clear" w:color="auto" w:fill="FFFFFF"/>
            <w:vAlign w:val="center"/>
          </w:tcPr>
          <w:p w:rsidR="00A63DCF" w:rsidRPr="006A7F96" w:rsidRDefault="00A63DCF" w:rsidP="008F6A03">
            <w:pPr>
              <w:spacing w:after="0" w:line="240" w:lineRule="auto"/>
              <w:rPr>
                <w:b/>
                <w:bCs/>
                <w:sz w:val="20"/>
              </w:rPr>
            </w:pPr>
            <w:r w:rsidRPr="006A7F96">
              <w:rPr>
                <w:b/>
                <w:bCs/>
                <w:sz w:val="20"/>
              </w:rPr>
              <w:t>Educație</w:t>
            </w:r>
          </w:p>
          <w:p w:rsidR="00A63DCF" w:rsidRPr="006A7F96" w:rsidRDefault="00A63DCF" w:rsidP="008F6A03">
            <w:pPr>
              <w:spacing w:after="0" w:line="240" w:lineRule="auto"/>
              <w:rPr>
                <w:b/>
                <w:bCs/>
                <w:sz w:val="20"/>
              </w:rPr>
            </w:pPr>
          </w:p>
        </w:tc>
        <w:tc>
          <w:tcPr>
            <w:tcW w:w="3845" w:type="pct"/>
            <w:shd w:val="clear" w:color="auto" w:fill="FFFFFF"/>
            <w:vAlign w:val="center"/>
          </w:tcPr>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Rata de cuprindere în învățământul ante-preșcolar / preșcolar / primar / gimnazial / secundar superior, din care: de etnie romă / din mediul rural (%)</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Rata de abandon școlar (%)</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Număr de persoane (elevi / ucenici), din care de etnie romă / care beneficiază de sprijin pentru participarea la programe de educație / FP, din care: elevi / ucenici</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Număr de angajați care beneficiază de sprijin pentru participarea la FPC (formare / validare de competențe), din care: persoane cu nivel scăzut de calificare / persoane din mediul rural / persoane cu vârsta peste 40 de ani</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 xml:space="preserve">Număr de persoane (cursanți, studenți) care beneficiază de sprijin pentru tranziția de la școală la viața activă, din care: de etnie romă / din mediul rural / netradițional / SEN </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Număr de copii / tineri / adulți care au obtinut  o calificare/ au finalizat programe de tip „a doua șansă”, urmare a sprijinului primit</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Număr de persoane care beneficiază prin proiecte de sprijin pentru formare / schimb de bune practici</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Times New Roman"/>
                <w:sz w:val="20"/>
                <w:u w:color="000000"/>
                <w:bdr w:val="nil"/>
              </w:rPr>
              <w:t>Număr de tineri șomeri din categoria NEET, cu vârsta între 16 și 24 de ani, care beneficiază de măsuri de reîntoarc</w:t>
            </w:r>
            <w:r w:rsidRPr="006A7F96">
              <w:rPr>
                <w:rFonts w:eastAsia="Arial Unicode MS"/>
                <w:sz w:val="20"/>
                <w:u w:color="000000"/>
                <w:bdr w:val="nil"/>
              </w:rPr>
              <w:t>ere prin programe de tip „a doua șansă”, din care: de etnie romă / grupuri vulnerabile/ minoritati etnice/ din zona rurală</w:t>
            </w:r>
          </w:p>
        </w:tc>
      </w:tr>
      <w:tr w:rsidR="00A63DCF" w:rsidRPr="006A7F96" w:rsidTr="008F6A03">
        <w:trPr>
          <w:trHeight w:val="270"/>
        </w:trPr>
        <w:tc>
          <w:tcPr>
            <w:tcW w:w="1155" w:type="pct"/>
            <w:shd w:val="clear" w:color="auto" w:fill="FFFFFF"/>
            <w:vAlign w:val="center"/>
          </w:tcPr>
          <w:p w:rsidR="00A63DCF" w:rsidRPr="006A7F96" w:rsidRDefault="00A63DCF" w:rsidP="008F6A03">
            <w:pPr>
              <w:spacing w:after="0" w:line="240" w:lineRule="auto"/>
              <w:rPr>
                <w:b/>
                <w:bCs/>
                <w:sz w:val="20"/>
              </w:rPr>
            </w:pPr>
            <w:r w:rsidRPr="006A7F96">
              <w:rPr>
                <w:b/>
                <w:bCs/>
                <w:sz w:val="20"/>
              </w:rPr>
              <w:t>Sănătate</w:t>
            </w:r>
          </w:p>
          <w:p w:rsidR="00A63DCF" w:rsidRPr="006A7F96" w:rsidRDefault="00A63DCF" w:rsidP="008F6A03">
            <w:pPr>
              <w:spacing w:after="0" w:line="240" w:lineRule="auto"/>
              <w:rPr>
                <w:b/>
                <w:bCs/>
                <w:sz w:val="20"/>
              </w:rPr>
            </w:pPr>
          </w:p>
        </w:tc>
        <w:tc>
          <w:tcPr>
            <w:tcW w:w="3845" w:type="pct"/>
            <w:shd w:val="clear" w:color="auto" w:fill="FFFFFF"/>
            <w:vAlign w:val="center"/>
          </w:tcPr>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Număr de persoane care au beneficit de consultatii privind asistenta medicala primara în ultimul an</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Arial Unicode MS"/>
                <w:sz w:val="20"/>
                <w:u w:color="000000"/>
                <w:bdr w:val="nil"/>
              </w:rPr>
              <w:t xml:space="preserve">Grad de acoperire </w:t>
            </w:r>
            <w:r w:rsidRPr="006A7F96">
              <w:rPr>
                <w:rFonts w:eastAsia="Times New Roman"/>
                <w:sz w:val="20"/>
                <w:u w:color="000000"/>
                <w:bdr w:val="nil"/>
              </w:rPr>
              <w:t xml:space="preserve">prin vaccinare a populației / copiilor </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Număr de centre integrate de asistență socio-medicală primară construite / reconstruite</w:t>
            </w:r>
          </w:p>
          <w:p w:rsidR="00A63DCF" w:rsidRPr="006A7F96" w:rsidRDefault="00A63DCF" w:rsidP="00A63DCF">
            <w:pPr>
              <w:numPr>
                <w:ilvl w:val="0"/>
                <w:numId w:val="1"/>
              </w:numPr>
              <w:spacing w:after="0" w:line="240" w:lineRule="auto"/>
              <w:ind w:left="374" w:hanging="357"/>
              <w:jc w:val="both"/>
              <w:rPr>
                <w:rFonts w:eastAsia="Times New Roman"/>
                <w:sz w:val="20"/>
                <w:u w:color="000000"/>
                <w:bdr w:val="nil"/>
              </w:rPr>
            </w:pPr>
            <w:r w:rsidRPr="006A7F96">
              <w:rPr>
                <w:rFonts w:eastAsia="Times New Roman"/>
                <w:sz w:val="20"/>
                <w:u w:color="000000"/>
                <w:bdr w:val="nil"/>
              </w:rPr>
              <w:t>Număr de unități de primire medicale reabilitate</w:t>
            </w:r>
          </w:p>
        </w:tc>
      </w:tr>
      <w:tr w:rsidR="00A63DCF" w:rsidRPr="006A7F96" w:rsidTr="008F6A03">
        <w:trPr>
          <w:trHeight w:val="270"/>
        </w:trPr>
        <w:tc>
          <w:tcPr>
            <w:tcW w:w="1155" w:type="pct"/>
            <w:shd w:val="clear" w:color="auto" w:fill="FFFFFF"/>
            <w:vAlign w:val="center"/>
          </w:tcPr>
          <w:p w:rsidR="00A63DCF" w:rsidRPr="006A7F96" w:rsidRDefault="00A63DCF" w:rsidP="008F6A03">
            <w:pPr>
              <w:spacing w:after="0" w:line="240" w:lineRule="auto"/>
              <w:rPr>
                <w:b/>
                <w:bCs/>
                <w:sz w:val="20"/>
              </w:rPr>
            </w:pPr>
            <w:r w:rsidRPr="006A7F96">
              <w:rPr>
                <w:b/>
                <w:bCs/>
                <w:sz w:val="20"/>
              </w:rPr>
              <w:t xml:space="preserve">Incluziune și protecție socială </w:t>
            </w:r>
          </w:p>
          <w:p w:rsidR="00A63DCF" w:rsidRPr="006A7F96" w:rsidRDefault="00A63DCF" w:rsidP="008F6A03">
            <w:pPr>
              <w:spacing w:after="0" w:line="240" w:lineRule="auto"/>
              <w:rPr>
                <w:b/>
                <w:bCs/>
                <w:sz w:val="20"/>
              </w:rPr>
            </w:pPr>
          </w:p>
        </w:tc>
        <w:tc>
          <w:tcPr>
            <w:tcW w:w="3845" w:type="pct"/>
            <w:shd w:val="clear" w:color="auto" w:fill="FFFFFF"/>
            <w:vAlign w:val="center"/>
          </w:tcPr>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grădinițe și alte servicii educaționale pentru copiii sub 6 ani în comunități dezavantajate</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copii integrați în crese /grădinițe în comunitățile dezavantajate</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lastRenderedPageBreak/>
              <w:t>Rata anuală de copii integrați în clasa pregătitoare și care au participat la educația preșcolară</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elevi cu risc de abandon școlar la începutul și la sfârșitul anului școlar în școlile cu un număr ridicat de romi</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Rata anuală a participării în școlile cu un număr ridicat de romi</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copii implicați în diferite tipuri de măsuri educaționale complementare (post-școală, grădinițe de vară, tutorat școlar etc.)</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și tipuri de centre (școli, ONG-uri) care au implementat măsurile de educație complementară în funcție de regiuni, județe</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mediatori școlari la nivel național și în comunitățile cu o pondere ridicată de romi (peste 25 %)</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mediatori școlari angajați cu normă întreagă în sistemul școlar</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mediatori școlari instruiți prin programe specifice</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absolvenți ai facultăților de filologie, limba romani, angajați în sistem</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persoane care au beneficiat de drept de proprietate regularizate</w:t>
            </w:r>
          </w:p>
        </w:tc>
      </w:tr>
    </w:tbl>
    <w:p w:rsidR="00A63DCF" w:rsidRDefault="00A63DCF" w:rsidP="00A63DCF">
      <w:pPr>
        <w:rPr>
          <w:b/>
          <w:bCs/>
          <w:color w:val="1F3864" w:themeColor="accent5" w:themeShade="80"/>
          <w:sz w:val="24"/>
          <w:szCs w:val="24"/>
        </w:rPr>
      </w:pPr>
    </w:p>
    <w:p w:rsidR="00A63DCF" w:rsidRDefault="00A63DCF" w:rsidP="00A63DCF">
      <w:pPr>
        <w:rPr>
          <w:b/>
          <w:bCs/>
          <w:color w:val="1F3864" w:themeColor="accent5" w:themeShade="80"/>
          <w:sz w:val="24"/>
          <w:szCs w:val="24"/>
        </w:rPr>
      </w:pPr>
    </w:p>
    <w:p w:rsidR="00A63DCF" w:rsidRPr="006A7F96" w:rsidRDefault="00A63DCF" w:rsidP="00A63DCF">
      <w:pPr>
        <w:rPr>
          <w:b/>
          <w:bCs/>
          <w:color w:val="1F3864" w:themeColor="accent5" w:themeShade="80"/>
          <w:sz w:val="24"/>
          <w:szCs w:val="24"/>
        </w:rPr>
      </w:pPr>
    </w:p>
    <w:p w:rsidR="00A63DCF" w:rsidRPr="006A7F96" w:rsidRDefault="00A63DCF" w:rsidP="00A63DCF">
      <w:pPr>
        <w:rPr>
          <w:b/>
          <w:bCs/>
          <w:color w:val="1F3864" w:themeColor="accent5" w:themeShade="80"/>
          <w:sz w:val="24"/>
          <w:szCs w:val="24"/>
        </w:rPr>
      </w:pPr>
      <w:r w:rsidRPr="006A7F96">
        <w:rPr>
          <w:b/>
          <w:bCs/>
          <w:color w:val="1F3864" w:themeColor="accent5" w:themeShade="80"/>
          <w:sz w:val="24"/>
          <w:szCs w:val="24"/>
        </w:rPr>
        <w:t>Pilonul V: Promovarea eficienței, accesibilității și sustenabilității</w:t>
      </w:r>
    </w:p>
    <w:tbl>
      <w:tblPr>
        <w:tblW w:w="5000" w:type="pct"/>
        <w:tblBorders>
          <w:top w:val="single" w:sz="6" w:space="0" w:color="9CC2E5"/>
          <w:left w:val="single" w:sz="6" w:space="0" w:color="9CC2E5"/>
          <w:bottom w:val="single" w:sz="6" w:space="0" w:color="9CC2E5"/>
          <w:right w:val="single" w:sz="6" w:space="0" w:color="9CC2E5"/>
          <w:insideH w:val="single" w:sz="6" w:space="0" w:color="9CC2E5"/>
          <w:insideV w:val="single" w:sz="6" w:space="0" w:color="9CC2E5"/>
        </w:tblBorders>
        <w:tblLook w:val="01E0" w:firstRow="1" w:lastRow="1" w:firstColumn="1" w:lastColumn="1" w:noHBand="0" w:noVBand="0"/>
      </w:tblPr>
      <w:tblGrid>
        <w:gridCol w:w="2223"/>
        <w:gridCol w:w="7401"/>
      </w:tblGrid>
      <w:tr w:rsidR="00A63DCF" w:rsidRPr="006A7F96" w:rsidTr="008F6A03">
        <w:trPr>
          <w:trHeight w:val="135"/>
        </w:trPr>
        <w:tc>
          <w:tcPr>
            <w:tcW w:w="1155" w:type="pct"/>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Domeniul</w:t>
            </w:r>
          </w:p>
        </w:tc>
        <w:tc>
          <w:tcPr>
            <w:tcW w:w="3845" w:type="pct"/>
            <w:shd w:val="clear" w:color="auto" w:fill="5B9BD5"/>
            <w:vAlign w:val="center"/>
          </w:tcPr>
          <w:p w:rsidR="00A63DCF" w:rsidRPr="006A7F96" w:rsidRDefault="00A63DCF" w:rsidP="008F6A03">
            <w:pPr>
              <w:spacing w:after="0" w:line="240" w:lineRule="auto"/>
              <w:jc w:val="center"/>
              <w:rPr>
                <w:b/>
                <w:bCs/>
                <w:sz w:val="20"/>
              </w:rPr>
            </w:pPr>
            <w:r w:rsidRPr="006A7F96">
              <w:rPr>
                <w:b/>
                <w:bCs/>
                <w:sz w:val="20"/>
              </w:rPr>
              <w:t>Indicatori</w:t>
            </w:r>
          </w:p>
        </w:tc>
      </w:tr>
      <w:tr w:rsidR="00A63DCF" w:rsidRPr="006A7F96" w:rsidTr="008F6A03">
        <w:trPr>
          <w:trHeight w:val="1258"/>
        </w:trPr>
        <w:tc>
          <w:tcPr>
            <w:tcW w:w="1155" w:type="pct"/>
            <w:shd w:val="clear" w:color="auto" w:fill="FFFFFF"/>
            <w:vAlign w:val="center"/>
          </w:tcPr>
          <w:p w:rsidR="00A63DCF" w:rsidRPr="006A7F96" w:rsidRDefault="00A63DCF" w:rsidP="008F6A03">
            <w:pPr>
              <w:spacing w:after="0" w:line="240" w:lineRule="auto"/>
              <w:rPr>
                <w:b/>
                <w:bCs/>
                <w:sz w:val="20"/>
              </w:rPr>
            </w:pPr>
            <w:r w:rsidRPr="006A7F96">
              <w:rPr>
                <w:b/>
                <w:bCs/>
                <w:sz w:val="20"/>
              </w:rPr>
              <w:t>Capacitatea administrativă și managementul de program</w:t>
            </w:r>
          </w:p>
        </w:tc>
        <w:tc>
          <w:tcPr>
            <w:tcW w:w="3845" w:type="pct"/>
            <w:shd w:val="clear" w:color="auto" w:fill="FFFFFF"/>
            <w:vAlign w:val="center"/>
          </w:tcPr>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entități interesate participante la luarea deciziilor și frecvența participării)</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autorități și instituții publice care au implementat măsuri unitare pentru reducerea poverii administrative, penttru implementarea sistemelor de management a calității și performanței</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acte normative revizuite care vizează îmbunătățirea cadrului legal și instituțional din Delta Dunării</w:t>
            </w:r>
          </w:p>
          <w:p w:rsidR="00A63DCF" w:rsidRPr="006A7F96" w:rsidRDefault="00A63DCF" w:rsidP="00A63DCF">
            <w:pPr>
              <w:numPr>
                <w:ilvl w:val="0"/>
                <w:numId w:val="1"/>
              </w:numPr>
              <w:spacing w:after="0" w:line="240" w:lineRule="auto"/>
              <w:ind w:left="374" w:hanging="357"/>
              <w:jc w:val="both"/>
              <w:rPr>
                <w:rFonts w:eastAsia="Arial Unicode MS"/>
                <w:sz w:val="20"/>
                <w:u w:color="000000"/>
                <w:bdr w:val="nil"/>
              </w:rPr>
            </w:pPr>
            <w:r w:rsidRPr="006A7F96">
              <w:rPr>
                <w:rFonts w:eastAsia="Arial Unicode MS"/>
                <w:sz w:val="20"/>
                <w:u w:color="000000"/>
                <w:bdr w:val="nil"/>
              </w:rPr>
              <w:t>Număr de proiecte implementat în cadrul ITI Delta Dunării</w:t>
            </w:r>
          </w:p>
        </w:tc>
      </w:tr>
    </w:tbl>
    <w:p w:rsidR="00A63DCF" w:rsidRPr="006A7F96" w:rsidRDefault="00A63DCF" w:rsidP="00A63DCF">
      <w:pPr>
        <w:rPr>
          <w:color w:val="00B050"/>
        </w:rPr>
      </w:pPr>
    </w:p>
    <w:p w:rsidR="00A63DCF" w:rsidRPr="006A7F96" w:rsidRDefault="00A63DCF" w:rsidP="00A63DCF">
      <w:pPr>
        <w:pStyle w:val="DDSection"/>
        <w:spacing w:before="0"/>
        <w:rPr>
          <w:sz w:val="22"/>
          <w:szCs w:val="22"/>
          <w:lang w:val="ro-RO"/>
        </w:rPr>
      </w:pPr>
    </w:p>
    <w:p w:rsidR="00A63DCF" w:rsidRPr="006A7F96" w:rsidRDefault="00A63DCF" w:rsidP="00CF36B4">
      <w:pPr>
        <w:jc w:val="both"/>
        <w:rPr>
          <w:rFonts w:cs="Arial"/>
          <w:bCs/>
        </w:rPr>
      </w:pPr>
    </w:p>
    <w:p w:rsidR="00FC4954" w:rsidRDefault="00FC4954" w:rsidP="00CF36B4">
      <w:pPr>
        <w:rPr>
          <w:rFonts w:ascii="Times New Roman" w:hAnsi="Times New Roman" w:cs="Times New Roman"/>
          <w:b/>
          <w:sz w:val="24"/>
          <w:szCs w:val="24"/>
          <w:u w:val="single"/>
        </w:rPr>
      </w:pPr>
      <w:bookmarkStart w:id="23" w:name="_Toc431490494"/>
      <w:bookmarkEnd w:id="23"/>
    </w:p>
    <w:sectPr w:rsidR="00FC4954" w:rsidSect="00AC1066">
      <w:footerReference w:type="default" r:id="rId23"/>
      <w:pgSz w:w="11906" w:h="16838"/>
      <w:pgMar w:top="1417" w:right="849"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6235" w:rsidRDefault="005C6235" w:rsidP="00AC1066">
      <w:pPr>
        <w:spacing w:after="0" w:line="240" w:lineRule="auto"/>
      </w:pPr>
      <w:r>
        <w:separator/>
      </w:r>
    </w:p>
  </w:endnote>
  <w:endnote w:type="continuationSeparator" w:id="0">
    <w:p w:rsidR="005C6235" w:rsidRDefault="005C6235" w:rsidP="00AC10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ヒラギノ角ゴ Pro W3">
    <w:altName w:val="Times New Roman"/>
    <w:charset w:val="00"/>
    <w:family w:val="roman"/>
    <w:pitch w:val="default"/>
  </w:font>
  <w:font w:name="DINPro-Regular">
    <w:charset w:val="00"/>
    <w:family w:val="swiss"/>
    <w:pitch w:val="default"/>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6722919"/>
      <w:docPartObj>
        <w:docPartGallery w:val="Page Numbers (Bottom of Page)"/>
        <w:docPartUnique/>
      </w:docPartObj>
    </w:sdtPr>
    <w:sdtEndPr/>
    <w:sdtContent>
      <w:p w:rsidR="00C85F99" w:rsidRDefault="00C85F99">
        <w:pPr>
          <w:pStyle w:val="Footer"/>
          <w:jc w:val="right"/>
        </w:pPr>
        <w:r>
          <w:fldChar w:fldCharType="begin"/>
        </w:r>
        <w:r>
          <w:instrText>PAGE   \* MERGEFORMAT</w:instrText>
        </w:r>
        <w:r>
          <w:fldChar w:fldCharType="separate"/>
        </w:r>
        <w:r w:rsidR="00A63DCF">
          <w:rPr>
            <w:noProof/>
          </w:rPr>
          <w:t>2</w:t>
        </w:r>
        <w:r>
          <w:fldChar w:fldCharType="end"/>
        </w:r>
      </w:p>
    </w:sdtContent>
  </w:sdt>
  <w:p w:rsidR="00C85F99" w:rsidRDefault="00C85F9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6235" w:rsidRDefault="005C6235" w:rsidP="00AC1066">
      <w:pPr>
        <w:spacing w:after="0" w:line="240" w:lineRule="auto"/>
      </w:pPr>
      <w:r>
        <w:separator/>
      </w:r>
    </w:p>
  </w:footnote>
  <w:footnote w:type="continuationSeparator" w:id="0">
    <w:p w:rsidR="005C6235" w:rsidRDefault="005C6235" w:rsidP="00AC1066">
      <w:pPr>
        <w:spacing w:after="0" w:line="240" w:lineRule="auto"/>
      </w:pPr>
      <w:r>
        <w:continuationSeparator/>
      </w:r>
    </w:p>
  </w:footnote>
  <w:footnote w:id="1">
    <w:p w:rsidR="00AC1066" w:rsidRPr="005C4D3C" w:rsidRDefault="00AC1066" w:rsidP="00AC1066">
      <w:pPr>
        <w:pStyle w:val="FootnoteText"/>
        <w:spacing w:after="0"/>
        <w:rPr>
          <w:rFonts w:ascii="Calibri" w:hAnsi="Calibri" w:cs="Calibri"/>
          <w:lang w:val="ro-RO"/>
        </w:rPr>
      </w:pPr>
      <w:r w:rsidRPr="005C4D3C">
        <w:rPr>
          <w:rStyle w:val="FootnoteReference"/>
          <w:rFonts w:ascii="Calibri" w:hAnsi="Calibri" w:cs="Calibri"/>
          <w:lang w:val="ro-RO"/>
        </w:rPr>
        <w:footnoteRef/>
      </w:r>
      <w:r w:rsidRPr="005C4D3C">
        <w:rPr>
          <w:rFonts w:ascii="Calibri" w:hAnsi="Calibri" w:cs="Calibri"/>
          <w:lang w:val="ro-RO"/>
        </w:rPr>
        <w:t xml:space="preserve"> INS – Rezultatele definitive ale RGA 2011.</w:t>
      </w:r>
    </w:p>
  </w:footnote>
  <w:footnote w:id="2">
    <w:p w:rsidR="00AC1066" w:rsidRPr="005C4D3C" w:rsidRDefault="00AC1066" w:rsidP="00AC1066">
      <w:pPr>
        <w:pStyle w:val="FootnoteText"/>
        <w:spacing w:after="0"/>
        <w:rPr>
          <w:rFonts w:ascii="Calibri" w:hAnsi="Calibri" w:cs="Calibri"/>
          <w:lang w:val="ro-RO"/>
        </w:rPr>
      </w:pPr>
      <w:r w:rsidRPr="005C4D3C">
        <w:rPr>
          <w:rStyle w:val="FootnoteReference"/>
          <w:rFonts w:ascii="Calibri" w:hAnsi="Calibri" w:cs="Calibri"/>
          <w:lang w:val="ro-RO"/>
        </w:rPr>
        <w:footnoteRef/>
      </w:r>
      <w:r w:rsidRPr="005C4D3C">
        <w:rPr>
          <w:rFonts w:ascii="Calibri" w:hAnsi="Calibri" w:cs="Calibri"/>
          <w:lang w:val="ro-RO"/>
        </w:rPr>
        <w:t xml:space="preserve"> </w:t>
      </w:r>
      <w:r w:rsidRPr="005C4D3C">
        <w:rPr>
          <w:rFonts w:ascii="Calibri" w:hAnsi="Calibri" w:cs="Calibri"/>
          <w:lang w:val="ro-RO"/>
        </w:rPr>
        <w:t>ARBDD.</w:t>
      </w:r>
    </w:p>
  </w:footnote>
  <w:footnote w:id="3">
    <w:p w:rsidR="00AC1066" w:rsidRPr="005C4D3C" w:rsidRDefault="00AC1066" w:rsidP="00AC1066">
      <w:pPr>
        <w:pStyle w:val="FootnoteText"/>
        <w:spacing w:after="0"/>
        <w:rPr>
          <w:rFonts w:ascii="Calibri" w:hAnsi="Calibri" w:cs="Calibri"/>
          <w:lang w:val="ro-RO"/>
        </w:rPr>
      </w:pPr>
      <w:r w:rsidRPr="005C4D3C">
        <w:rPr>
          <w:rStyle w:val="FootnoteReference"/>
          <w:rFonts w:ascii="Calibri" w:hAnsi="Calibri" w:cs="Calibri"/>
          <w:lang w:val="ro-RO"/>
        </w:rPr>
        <w:footnoteRef/>
      </w:r>
      <w:r w:rsidRPr="005C4D3C">
        <w:rPr>
          <w:rFonts w:ascii="Calibri" w:hAnsi="Calibri" w:cs="Calibri"/>
          <w:lang w:val="ro-RO"/>
        </w:rPr>
        <w:t xml:space="preserve"> </w:t>
      </w:r>
      <w:r w:rsidRPr="005C4D3C">
        <w:rPr>
          <w:rFonts w:ascii="Calibri" w:hAnsi="Calibri" w:cs="Calibri"/>
          <w:lang w:val="ro-RO"/>
        </w:rPr>
        <w:t>INS – Rezultatele definitive ale RGA 2010.</w:t>
      </w:r>
    </w:p>
  </w:footnote>
  <w:footnote w:id="4">
    <w:p w:rsidR="00AC1066" w:rsidRPr="005C4D3C" w:rsidRDefault="00AC1066" w:rsidP="00AC1066">
      <w:pPr>
        <w:pStyle w:val="FootnoteText"/>
        <w:spacing w:after="0"/>
        <w:rPr>
          <w:rFonts w:ascii="Calibri" w:hAnsi="Calibri" w:cs="Calibri"/>
          <w:lang w:val="ro-RO"/>
        </w:rPr>
      </w:pPr>
      <w:r w:rsidRPr="005C4D3C">
        <w:rPr>
          <w:rStyle w:val="FootnoteReference"/>
          <w:rFonts w:ascii="Calibri" w:hAnsi="Calibri" w:cs="Calibri"/>
          <w:lang w:val="ro-RO"/>
        </w:rPr>
        <w:footnoteRef/>
      </w:r>
      <w:r w:rsidRPr="005C4D3C">
        <w:rPr>
          <w:rFonts w:ascii="Calibri" w:hAnsi="Calibri" w:cs="Calibri"/>
          <w:lang w:val="ro-RO"/>
        </w:rPr>
        <w:t xml:space="preserve"> </w:t>
      </w:r>
      <w:r w:rsidRPr="005C4D3C">
        <w:rPr>
          <w:rFonts w:ascii="Calibri" w:hAnsi="Calibri" w:cs="Calibri"/>
          <w:lang w:val="ro-RO"/>
        </w:rPr>
        <w:t xml:space="preserve">INS </w:t>
      </w:r>
      <w:r w:rsidRPr="005C4D3C">
        <w:rPr>
          <w:rFonts w:ascii="Calibri" w:hAnsi="Calibri" w:cs="Calibri"/>
          <w:lang w:val="ro-RO"/>
        </w:rPr>
        <w:t>– Rezultatele definitive ale RGPL 2011.</w:t>
      </w:r>
    </w:p>
  </w:footnote>
  <w:footnote w:id="5">
    <w:p w:rsidR="00AC1066" w:rsidRPr="005C4D3C" w:rsidRDefault="00AC1066" w:rsidP="00AC1066">
      <w:pPr>
        <w:pStyle w:val="FootnoteText"/>
        <w:spacing w:after="0"/>
        <w:rPr>
          <w:rFonts w:ascii="Calibri" w:hAnsi="Calibri" w:cs="Calibri"/>
          <w:lang w:val="ro-RO"/>
        </w:rPr>
      </w:pPr>
      <w:r w:rsidRPr="005C4D3C">
        <w:rPr>
          <w:rStyle w:val="FootnoteReference"/>
          <w:rFonts w:ascii="Calibri" w:hAnsi="Calibri" w:cs="Calibri"/>
          <w:lang w:val="ro-RO"/>
        </w:rPr>
        <w:footnoteRef/>
      </w:r>
      <w:r w:rsidRPr="005C4D3C">
        <w:rPr>
          <w:rFonts w:ascii="Calibri" w:hAnsi="Calibri" w:cs="Calibri"/>
          <w:lang w:val="ro-RO"/>
        </w:rPr>
        <w:t xml:space="preserve"> </w:t>
      </w:r>
      <w:r w:rsidRPr="005C4D3C">
        <w:rPr>
          <w:rFonts w:ascii="Calibri" w:hAnsi="Calibri" w:cs="Calibri"/>
          <w:lang w:val="ro-RO"/>
        </w:rPr>
        <w:t xml:space="preserve">Borg </w:t>
      </w:r>
      <w:r w:rsidRPr="005C4D3C">
        <w:rPr>
          <w:rFonts w:ascii="Calibri" w:hAnsi="Calibri" w:cs="Calibri"/>
          <w:lang w:val="ro-RO"/>
        </w:rPr>
        <w:t>Design – Baza de date Listă Firme.</w:t>
      </w:r>
    </w:p>
  </w:footnote>
  <w:footnote w:id="6">
    <w:p w:rsidR="00AC1066" w:rsidRPr="005C4D3C" w:rsidRDefault="00AC1066" w:rsidP="00AC1066">
      <w:pPr>
        <w:pStyle w:val="FootnoteText"/>
        <w:spacing w:after="0"/>
        <w:rPr>
          <w:rFonts w:ascii="Calibri" w:hAnsi="Calibri" w:cs="Calibri"/>
          <w:lang w:val="ro-RO"/>
        </w:rPr>
      </w:pPr>
      <w:r w:rsidRPr="005C4D3C">
        <w:rPr>
          <w:rStyle w:val="FootnoteReference"/>
          <w:rFonts w:ascii="Calibri" w:hAnsi="Calibri" w:cs="Calibri"/>
          <w:lang w:val="ro-RO"/>
        </w:rPr>
        <w:footnoteRef/>
      </w:r>
      <w:r w:rsidRPr="005C4D3C">
        <w:rPr>
          <w:rFonts w:ascii="Calibri" w:hAnsi="Calibri" w:cs="Calibri"/>
          <w:lang w:val="ro-RO"/>
        </w:rPr>
        <w:t xml:space="preserve"> </w:t>
      </w:r>
      <w:r w:rsidRPr="005C4D3C">
        <w:rPr>
          <w:rFonts w:ascii="Calibri" w:hAnsi="Calibri" w:cs="Calibri"/>
          <w:lang w:val="ro-RO"/>
        </w:rPr>
        <w:t xml:space="preserve">APM </w:t>
      </w:r>
      <w:r w:rsidRPr="005C4D3C">
        <w:rPr>
          <w:rFonts w:ascii="Calibri" w:hAnsi="Calibri" w:cs="Calibri"/>
          <w:lang w:val="ro-RO"/>
        </w:rPr>
        <w:t>Tulcea – Raportul anual privind starea mediului în 2014.</w:t>
      </w:r>
    </w:p>
  </w:footnote>
  <w:footnote w:id="7">
    <w:p w:rsidR="00AC1066" w:rsidRPr="00717E51" w:rsidRDefault="00AC1066" w:rsidP="00AC1066">
      <w:pPr>
        <w:pStyle w:val="FootnoteText"/>
        <w:spacing w:after="0"/>
        <w:rPr>
          <w:rFonts w:ascii="Calibri" w:hAnsi="Calibri" w:cs="Calibri"/>
          <w:sz w:val="18"/>
          <w:szCs w:val="18"/>
          <w:lang w:val="ro-RO"/>
        </w:rPr>
      </w:pPr>
      <w:r w:rsidRPr="00717E51">
        <w:rPr>
          <w:rStyle w:val="FootnoteReference"/>
          <w:rFonts w:ascii="Calibri" w:hAnsi="Calibri" w:cs="Calibri"/>
          <w:sz w:val="18"/>
          <w:szCs w:val="18"/>
          <w:lang w:val="ro-RO"/>
        </w:rPr>
        <w:footnoteRef/>
      </w:r>
      <w:r w:rsidRPr="00717E51">
        <w:rPr>
          <w:rFonts w:ascii="Calibri" w:hAnsi="Calibri" w:cs="Calibri"/>
          <w:sz w:val="18"/>
          <w:szCs w:val="18"/>
          <w:lang w:val="ro-RO"/>
        </w:rPr>
        <w:t xml:space="preserve"> </w:t>
      </w:r>
      <w:r w:rsidRPr="00717E51">
        <w:rPr>
          <w:rFonts w:ascii="Calibri" w:hAnsi="Calibri" w:cs="Calibri"/>
          <w:sz w:val="18"/>
          <w:szCs w:val="18"/>
          <w:lang w:val="ro-RO"/>
        </w:rPr>
        <w:t xml:space="preserve">În </w:t>
      </w:r>
      <w:r w:rsidRPr="00717E51">
        <w:rPr>
          <w:rFonts w:ascii="Calibri" w:hAnsi="Calibri" w:cs="Calibri"/>
          <w:sz w:val="18"/>
          <w:szCs w:val="18"/>
          <w:lang w:val="ro-RO"/>
        </w:rPr>
        <w:t>fapt, orașul Sulina a înregistrat sub 4</w:t>
      </w:r>
      <w:r>
        <w:rPr>
          <w:rFonts w:ascii="Calibri" w:hAnsi="Calibri" w:cs="Calibri"/>
          <w:sz w:val="18"/>
          <w:szCs w:val="18"/>
          <w:lang w:val="ro-RO"/>
        </w:rPr>
        <w:t>.000</w:t>
      </w:r>
      <w:r w:rsidRPr="00717E51">
        <w:rPr>
          <w:rFonts w:ascii="Calibri" w:hAnsi="Calibri" w:cs="Calibri"/>
          <w:sz w:val="18"/>
          <w:szCs w:val="18"/>
          <w:lang w:val="ro-RO"/>
        </w:rPr>
        <w:t xml:space="preserve"> locuitori la recensământul populației din 2011, Isaccea are în jur de 5</w:t>
      </w:r>
      <w:r>
        <w:rPr>
          <w:rFonts w:ascii="Calibri" w:hAnsi="Calibri" w:cs="Calibri"/>
          <w:sz w:val="18"/>
          <w:szCs w:val="18"/>
          <w:lang w:val="ro-RO"/>
        </w:rPr>
        <w:t>.000</w:t>
      </w:r>
      <w:r w:rsidRPr="00717E51">
        <w:rPr>
          <w:rFonts w:ascii="Calibri" w:hAnsi="Calibri" w:cs="Calibri"/>
          <w:sz w:val="18"/>
          <w:szCs w:val="18"/>
          <w:lang w:val="ro-RO"/>
        </w:rPr>
        <w:t>, în timp ce Babadag și Măcin au circa 8</w:t>
      </w:r>
      <w:r>
        <w:rPr>
          <w:rFonts w:ascii="Calibri" w:hAnsi="Calibri" w:cs="Calibri"/>
          <w:sz w:val="18"/>
          <w:szCs w:val="18"/>
          <w:lang w:val="ro-RO"/>
        </w:rPr>
        <w:t>-</w:t>
      </w:r>
      <w:r w:rsidRPr="00717E51">
        <w:rPr>
          <w:rFonts w:ascii="Calibri" w:hAnsi="Calibri" w:cs="Calibri"/>
          <w:sz w:val="18"/>
          <w:szCs w:val="18"/>
          <w:lang w:val="ro-RO"/>
        </w:rPr>
        <w:t>9</w:t>
      </w:r>
      <w:r>
        <w:rPr>
          <w:rFonts w:ascii="Calibri" w:hAnsi="Calibri" w:cs="Calibri"/>
          <w:sz w:val="18"/>
          <w:szCs w:val="18"/>
          <w:lang w:val="ro-RO"/>
        </w:rPr>
        <w:t>.000</w:t>
      </w:r>
      <w:r w:rsidRPr="00717E51">
        <w:rPr>
          <w:rFonts w:ascii="Calibri" w:hAnsi="Calibri" w:cs="Calibri"/>
          <w:sz w:val="18"/>
          <w:szCs w:val="18"/>
          <w:lang w:val="ro-RO"/>
        </w:rPr>
        <w:t xml:space="preserve"> locuitori.</w:t>
      </w:r>
    </w:p>
  </w:footnote>
  <w:footnote w:id="8">
    <w:p w:rsidR="00AC1066" w:rsidRPr="00717E51" w:rsidRDefault="00AC1066" w:rsidP="00AC1066">
      <w:pPr>
        <w:pStyle w:val="FootnoteText"/>
        <w:spacing w:after="0"/>
        <w:rPr>
          <w:rFonts w:ascii="Calibri" w:hAnsi="Calibri" w:cs="Calibri"/>
          <w:sz w:val="18"/>
          <w:szCs w:val="18"/>
          <w:lang w:val="ro-RO"/>
        </w:rPr>
      </w:pPr>
      <w:r w:rsidRPr="00717E51">
        <w:rPr>
          <w:rStyle w:val="FootnoteReference"/>
          <w:rFonts w:ascii="Calibri" w:hAnsi="Calibri" w:cs="Calibri"/>
          <w:sz w:val="18"/>
          <w:szCs w:val="18"/>
          <w:lang w:val="ro-RO"/>
        </w:rPr>
        <w:footnoteRef/>
      </w:r>
      <w:r w:rsidRPr="00717E51">
        <w:rPr>
          <w:rFonts w:ascii="Calibri" w:hAnsi="Calibri" w:cs="Calibri"/>
          <w:sz w:val="18"/>
          <w:szCs w:val="18"/>
          <w:lang w:val="ro-RO"/>
        </w:rPr>
        <w:t xml:space="preserve"> </w:t>
      </w:r>
      <w:r w:rsidRPr="00717E51">
        <w:rPr>
          <w:rFonts w:ascii="Calibri" w:hAnsi="Calibri" w:cs="Calibri"/>
          <w:sz w:val="18"/>
          <w:szCs w:val="18"/>
          <w:lang w:val="ro-RO"/>
        </w:rPr>
        <w:t xml:space="preserve">Numărul </w:t>
      </w:r>
      <w:r w:rsidRPr="00717E51">
        <w:rPr>
          <w:rFonts w:ascii="Calibri" w:hAnsi="Calibri" w:cs="Calibri"/>
          <w:sz w:val="18"/>
          <w:szCs w:val="18"/>
          <w:lang w:val="ro-RO"/>
        </w:rPr>
        <w:t>de locuitori variază de la un minim de 527 de locuitori în comuna Pardina (Tulcea) până la un maxim de aproape 5.900 în Sarichioi (Tulcea).</w:t>
      </w:r>
    </w:p>
  </w:footnote>
  <w:footnote w:id="9">
    <w:p w:rsidR="00AC1066" w:rsidRPr="00717E51" w:rsidRDefault="00AC1066" w:rsidP="00AC1066">
      <w:pPr>
        <w:pStyle w:val="FootnoteText"/>
        <w:spacing w:after="0"/>
        <w:rPr>
          <w:rFonts w:ascii="Calibri" w:hAnsi="Calibri" w:cs="Calibri"/>
          <w:sz w:val="18"/>
          <w:szCs w:val="18"/>
          <w:lang w:val="ro-RO"/>
        </w:rPr>
      </w:pPr>
      <w:r w:rsidRPr="00717E51">
        <w:rPr>
          <w:rStyle w:val="FootnoteReference"/>
          <w:rFonts w:ascii="Calibri" w:hAnsi="Calibri" w:cs="Calibri"/>
          <w:sz w:val="18"/>
          <w:szCs w:val="18"/>
          <w:lang w:val="ro-RO"/>
        </w:rPr>
        <w:footnoteRef/>
      </w:r>
      <w:r w:rsidRPr="00717E51">
        <w:rPr>
          <w:rFonts w:ascii="Calibri" w:hAnsi="Calibri" w:cs="Calibri"/>
          <w:sz w:val="18"/>
          <w:szCs w:val="18"/>
          <w:lang w:val="ro-RO"/>
        </w:rPr>
        <w:t xml:space="preserve"> </w:t>
      </w:r>
      <w:r w:rsidRPr="00717E51">
        <w:rPr>
          <w:rFonts w:ascii="Calibri" w:hAnsi="Calibri" w:cs="Calibri"/>
          <w:sz w:val="18"/>
          <w:szCs w:val="18"/>
          <w:lang w:val="ro-RO"/>
        </w:rPr>
        <w:t xml:space="preserve">Adoptată </w:t>
      </w:r>
      <w:r w:rsidRPr="00717E51">
        <w:rPr>
          <w:rFonts w:ascii="Calibri" w:hAnsi="Calibri" w:cs="Calibri"/>
          <w:sz w:val="18"/>
          <w:szCs w:val="18"/>
          <w:lang w:val="ro-RO"/>
        </w:rPr>
        <w:t xml:space="preserve">de Guvernul României în ședință de Guvern, în data de 27 mai 2015. </w:t>
      </w:r>
    </w:p>
  </w:footnote>
  <w:footnote w:id="10">
    <w:p w:rsidR="00AC1066" w:rsidRPr="00717E51" w:rsidRDefault="00AC1066" w:rsidP="00AC1066">
      <w:pPr>
        <w:pStyle w:val="FootnoteText"/>
        <w:spacing w:after="0"/>
        <w:rPr>
          <w:rFonts w:ascii="Calibri" w:hAnsi="Calibri" w:cs="Calibri"/>
          <w:sz w:val="18"/>
          <w:szCs w:val="18"/>
          <w:lang w:val="ro-RO"/>
        </w:rPr>
      </w:pPr>
      <w:r w:rsidRPr="00717E51">
        <w:rPr>
          <w:rStyle w:val="FootnoteReference"/>
          <w:rFonts w:ascii="Calibri" w:hAnsi="Calibri" w:cs="Calibri"/>
          <w:sz w:val="18"/>
          <w:szCs w:val="18"/>
          <w:lang w:val="ro-RO"/>
        </w:rPr>
        <w:footnoteRef/>
      </w:r>
      <w:r w:rsidRPr="00717E51">
        <w:rPr>
          <w:rFonts w:ascii="Calibri" w:hAnsi="Calibri" w:cs="Calibri"/>
          <w:sz w:val="18"/>
          <w:szCs w:val="18"/>
          <w:lang w:val="ro-RO"/>
        </w:rPr>
        <w:t xml:space="preserve"> </w:t>
      </w:r>
      <w:r w:rsidRPr="00717E51">
        <w:rPr>
          <w:rFonts w:ascii="Calibri" w:hAnsi="Calibri" w:cs="Calibri"/>
          <w:sz w:val="18"/>
          <w:szCs w:val="18"/>
          <w:lang w:val="ro-RO"/>
        </w:rPr>
        <w:t xml:space="preserve">Apă </w:t>
      </w:r>
      <w:r w:rsidRPr="00717E51">
        <w:rPr>
          <w:rFonts w:ascii="Calibri" w:hAnsi="Calibri" w:cs="Calibri"/>
          <w:sz w:val="18"/>
          <w:szCs w:val="18"/>
          <w:lang w:val="ro-RO"/>
        </w:rPr>
        <w:t>curentă prin reţeaua publică; apă caldă prin reţeaua publică; sistem de canalizare conectat la o staţie publică de evacuare a apelor reziduale; curent electric; gaze naturale prin reţeaua publică.</w:t>
      </w:r>
    </w:p>
  </w:footnote>
  <w:footnote w:id="11">
    <w:p w:rsidR="00AC1066" w:rsidRPr="00717E51" w:rsidRDefault="00AC1066" w:rsidP="00AC1066">
      <w:pPr>
        <w:pStyle w:val="FootnoteText"/>
        <w:spacing w:after="0"/>
        <w:rPr>
          <w:rFonts w:ascii="Calibri" w:hAnsi="Calibri" w:cs="Calibri"/>
          <w:sz w:val="18"/>
          <w:szCs w:val="18"/>
          <w:lang w:val="ro-RO"/>
        </w:rPr>
      </w:pPr>
      <w:r w:rsidRPr="00717E51">
        <w:rPr>
          <w:rStyle w:val="FootnoteReference"/>
          <w:rFonts w:ascii="Calibri" w:hAnsi="Calibri" w:cs="Calibri"/>
          <w:sz w:val="18"/>
          <w:szCs w:val="18"/>
          <w:lang w:val="ro-RO"/>
        </w:rPr>
        <w:footnoteRef/>
      </w:r>
      <w:r w:rsidRPr="00717E51">
        <w:rPr>
          <w:rFonts w:ascii="Calibri" w:hAnsi="Calibri" w:cs="Calibri"/>
          <w:sz w:val="18"/>
          <w:szCs w:val="18"/>
          <w:lang w:val="ro-RO"/>
        </w:rPr>
        <w:t xml:space="preserve"> </w:t>
      </w:r>
      <w:r w:rsidRPr="00717E51">
        <w:rPr>
          <w:rFonts w:ascii="Calibri" w:hAnsi="Calibri" w:cs="Calibri"/>
          <w:sz w:val="18"/>
          <w:szCs w:val="18"/>
          <w:lang w:val="ro-RO"/>
        </w:rPr>
        <w:t xml:space="preserve">Maximul </w:t>
      </w:r>
      <w:r w:rsidRPr="00717E51">
        <w:rPr>
          <w:rFonts w:ascii="Calibri" w:hAnsi="Calibri" w:cs="Calibri"/>
          <w:sz w:val="18"/>
          <w:szCs w:val="18"/>
          <w:lang w:val="ro-RO"/>
        </w:rPr>
        <w:t>este înregistrat de comuna Chilia Veche, care este situată la peste 152 minute de orice centru urban.</w:t>
      </w:r>
    </w:p>
  </w:footnote>
  <w:footnote w:id="12">
    <w:p w:rsidR="00AC1066" w:rsidRPr="005C4D3C" w:rsidRDefault="00AC1066" w:rsidP="00AC1066">
      <w:pPr>
        <w:pStyle w:val="FootnoteText"/>
        <w:spacing w:after="0"/>
        <w:rPr>
          <w:rFonts w:ascii="Calibri" w:hAnsi="Calibri" w:cs="Calibri"/>
          <w:lang w:val="ro-RO"/>
        </w:rPr>
      </w:pPr>
      <w:r w:rsidRPr="00717E51">
        <w:rPr>
          <w:rStyle w:val="FootnoteReference"/>
          <w:rFonts w:ascii="Calibri" w:hAnsi="Calibri" w:cs="Calibri"/>
          <w:sz w:val="18"/>
          <w:szCs w:val="18"/>
          <w:lang w:val="ro-RO"/>
        </w:rPr>
        <w:footnoteRef/>
      </w:r>
      <w:r w:rsidRPr="00717E51">
        <w:rPr>
          <w:rFonts w:ascii="Calibri" w:hAnsi="Calibri" w:cs="Calibri"/>
          <w:sz w:val="18"/>
          <w:szCs w:val="18"/>
          <w:lang w:val="ro-RO"/>
        </w:rPr>
        <w:t xml:space="preserve"> </w:t>
      </w:r>
      <w:r w:rsidRPr="00717E51">
        <w:rPr>
          <w:rFonts w:ascii="Calibri" w:hAnsi="Calibri" w:cs="Calibri"/>
          <w:sz w:val="18"/>
          <w:szCs w:val="18"/>
          <w:lang w:val="ro-RO"/>
        </w:rPr>
        <w:t xml:space="preserve">Persoanele </w:t>
      </w:r>
      <w:r w:rsidRPr="00717E51">
        <w:rPr>
          <w:rFonts w:ascii="Calibri" w:hAnsi="Calibri" w:cs="Calibri"/>
          <w:sz w:val="18"/>
          <w:szCs w:val="18"/>
          <w:lang w:val="ro-RO"/>
        </w:rPr>
        <w:t xml:space="preserve">cu risc de sărăcie relativă, chiar dacă au primit transferuri sociale (indicator denumit AROP – </w:t>
      </w:r>
      <w:r w:rsidRPr="00717E51">
        <w:rPr>
          <w:rFonts w:ascii="Calibri" w:hAnsi="Calibri" w:cs="Calibri"/>
          <w:i/>
          <w:sz w:val="18"/>
          <w:szCs w:val="18"/>
          <w:lang w:val="ro-RO"/>
        </w:rPr>
        <w:t>at risk-of-poverty</w:t>
      </w:r>
      <w:r w:rsidRPr="00717E51">
        <w:rPr>
          <w:rFonts w:ascii="Calibri" w:hAnsi="Calibri" w:cs="Calibri"/>
          <w:sz w:val="18"/>
          <w:szCs w:val="18"/>
          <w:lang w:val="ro-RO"/>
        </w:rPr>
        <w:t xml:space="preserve">), sunt persoanele din gospodării cu un venit disponibil anual mai mic de 60 de procente din venitul median, raportat la numărul de adulți echivalenți. Venitul disponibil este suma tuturor veniturilor realizate (inclusiv veniturile din protecţie socială: prestații de asigurări sociale sau beneficii de asistență socială) din care se scad impozitele (pe venit sau pe proprietate) și contribuțiile sociale plătite. Acest indicator (AROP) este folosit în determinarea indicatorului cel mai general – persoanele expuse riscului de sărăcie sau excluziune socială (AROPE - </w:t>
      </w:r>
      <w:r w:rsidRPr="00717E51">
        <w:rPr>
          <w:rFonts w:ascii="Calibri" w:hAnsi="Calibri" w:cs="Calibri"/>
          <w:i/>
          <w:sz w:val="18"/>
          <w:szCs w:val="18"/>
          <w:lang w:val="ro-RO"/>
        </w:rPr>
        <w:t>at risk-of-poverty-or-exclusion</w:t>
      </w:r>
      <w:r w:rsidRPr="00717E51">
        <w:rPr>
          <w:rFonts w:ascii="Calibri" w:hAnsi="Calibri" w:cs="Calibri"/>
          <w:sz w:val="18"/>
          <w:szCs w:val="18"/>
          <w:lang w:val="ro-RO"/>
        </w:rPr>
        <w:t>), utilizat și pentru a măsura atingerea țintei asumate la nivelul Uniunii Europene referitoare la creșterea incluziunii sociale.</w:t>
      </w:r>
    </w:p>
  </w:footnote>
  <w:footnote w:id="13">
    <w:p w:rsidR="00AC1066" w:rsidRPr="00523D63" w:rsidRDefault="00AC1066" w:rsidP="00AC1066">
      <w:pPr>
        <w:pStyle w:val="FootnoteText"/>
        <w:spacing w:after="0"/>
        <w:rPr>
          <w:rFonts w:ascii="Calibri" w:hAnsi="Calibri" w:cs="Calibri"/>
          <w:sz w:val="18"/>
          <w:szCs w:val="18"/>
          <w:lang w:val="ro-RO"/>
        </w:rPr>
      </w:pPr>
      <w:r w:rsidRPr="00523D63">
        <w:rPr>
          <w:rStyle w:val="FootnoteReference"/>
          <w:rFonts w:ascii="Calibri" w:hAnsi="Calibri" w:cs="Calibri"/>
          <w:sz w:val="18"/>
          <w:szCs w:val="18"/>
          <w:lang w:val="ro-RO"/>
        </w:rPr>
        <w:footnoteRef/>
      </w:r>
      <w:r w:rsidRPr="00523D63">
        <w:rPr>
          <w:rFonts w:ascii="Calibri" w:hAnsi="Calibri" w:cs="Calibri"/>
          <w:sz w:val="18"/>
          <w:szCs w:val="18"/>
          <w:lang w:val="ro-RO"/>
        </w:rPr>
        <w:t xml:space="preserve"> </w:t>
      </w:r>
      <w:r w:rsidRPr="00523D63">
        <w:rPr>
          <w:rFonts w:ascii="Calibri" w:hAnsi="Calibri" w:cs="Calibri"/>
          <w:sz w:val="18"/>
          <w:szCs w:val="18"/>
          <w:lang w:val="ro-RO"/>
        </w:rPr>
        <w:t xml:space="preserve">Disponibil </w:t>
      </w:r>
      <w:r w:rsidRPr="00523D63">
        <w:rPr>
          <w:rFonts w:ascii="Calibri" w:hAnsi="Calibri" w:cs="Calibri"/>
          <w:sz w:val="18"/>
          <w:szCs w:val="18"/>
          <w:lang w:val="ro-RO"/>
        </w:rPr>
        <w:t xml:space="preserve">pe www.inforegio.ro. Analiza a fost realizată folosind datele colectate la recensământul din 2011, care au fost agregate la nivel de sector de recensământ. Zonele (sau sectoarele de recensământ) marginalizate au fost definite ca fiind cele dezavantajate în privința capitalului uman, ocupării formale și locuirii. În plus, studiul a identificat alte trei tipuri de zone urbane dezavantajate din punctul de vedere al unuia sau a două dintre cele trei criterii. Majoritatea populaţiei urbane (67,8%) locuieşte în zone nedezavantajate, </w:t>
      </w:r>
      <w:r>
        <w:rPr>
          <w:rFonts w:ascii="Calibri" w:hAnsi="Calibri" w:cs="Calibri"/>
          <w:sz w:val="18"/>
          <w:szCs w:val="18"/>
          <w:lang w:val="ro-RO"/>
        </w:rPr>
        <w:t xml:space="preserve">față de </w:t>
      </w:r>
      <w:r w:rsidRPr="00523D63">
        <w:rPr>
          <w:rFonts w:ascii="Calibri" w:hAnsi="Calibri" w:cs="Calibri"/>
          <w:sz w:val="18"/>
          <w:szCs w:val="18"/>
          <w:lang w:val="ro-RO"/>
        </w:rPr>
        <w:t xml:space="preserve">11,7% în zone dezavantajate </w:t>
      </w:r>
      <w:r w:rsidRPr="007D11F6">
        <w:rPr>
          <w:rFonts w:ascii="Calibri" w:hAnsi="Calibri" w:cs="Calibri"/>
          <w:sz w:val="18"/>
          <w:szCs w:val="18"/>
          <w:lang w:val="ro-RO"/>
        </w:rPr>
        <w:t>din punct de vedere al capitalului uman, 9,9% în zone afectate de şomaj</w:t>
      </w:r>
      <w:r w:rsidRPr="00523D63">
        <w:rPr>
          <w:rFonts w:ascii="Calibri" w:hAnsi="Calibri" w:cs="Calibri"/>
          <w:sz w:val="18"/>
          <w:szCs w:val="18"/>
          <w:lang w:val="ro-RO"/>
        </w:rPr>
        <w:t>, 5,2% în zone deza</w:t>
      </w:r>
      <w:r>
        <w:rPr>
          <w:rFonts w:ascii="Calibri" w:hAnsi="Calibri" w:cs="Calibri"/>
          <w:sz w:val="18"/>
          <w:szCs w:val="18"/>
          <w:lang w:val="ro-RO"/>
        </w:rPr>
        <w:t>vantajate pe criteriul locuirii</w:t>
      </w:r>
      <w:r w:rsidRPr="00523D63">
        <w:rPr>
          <w:rFonts w:ascii="Calibri" w:hAnsi="Calibri" w:cs="Calibri"/>
          <w:sz w:val="18"/>
          <w:szCs w:val="18"/>
          <w:lang w:val="ro-RO"/>
        </w:rPr>
        <w:t xml:space="preserve"> </w:t>
      </w:r>
      <w:r>
        <w:rPr>
          <w:rFonts w:ascii="Calibri" w:hAnsi="Calibri" w:cs="Calibri"/>
          <w:sz w:val="18"/>
          <w:szCs w:val="18"/>
          <w:lang w:val="ro-RO"/>
        </w:rPr>
        <w:t xml:space="preserve">și </w:t>
      </w:r>
      <w:r w:rsidRPr="00523D63">
        <w:rPr>
          <w:rFonts w:ascii="Calibri" w:hAnsi="Calibri" w:cs="Calibri"/>
          <w:sz w:val="18"/>
          <w:szCs w:val="18"/>
          <w:lang w:val="ro-RO"/>
        </w:rPr>
        <w:t>2,3% în alte zone urbane.</w:t>
      </w:r>
    </w:p>
  </w:footnote>
  <w:footnote w:id="14">
    <w:p w:rsidR="00AC1066" w:rsidRPr="005C4D3C" w:rsidRDefault="00AC1066" w:rsidP="00AC1066">
      <w:pPr>
        <w:pStyle w:val="FootnoteText"/>
        <w:spacing w:after="0"/>
        <w:rPr>
          <w:rFonts w:ascii="Calibri" w:hAnsi="Calibri" w:cs="Calibri"/>
          <w:lang w:val="ro-RO"/>
        </w:rPr>
      </w:pPr>
      <w:r w:rsidRPr="005C4D3C">
        <w:rPr>
          <w:rStyle w:val="FootnoteReference"/>
          <w:rFonts w:ascii="Calibri" w:hAnsi="Calibri" w:cs="Calibri"/>
          <w:lang w:val="ro-RO"/>
        </w:rPr>
        <w:footnoteRef/>
      </w:r>
      <w:r w:rsidRPr="005C4D3C">
        <w:rPr>
          <w:rFonts w:ascii="Calibri" w:hAnsi="Calibri" w:cs="Calibri"/>
          <w:lang w:val="ro-RO"/>
        </w:rPr>
        <w:t xml:space="preserve"> </w:t>
      </w:r>
      <w:r w:rsidRPr="005C4D3C">
        <w:rPr>
          <w:rFonts w:ascii="Calibri" w:hAnsi="Calibri" w:cs="Calibri"/>
          <w:lang w:val="ro-RO"/>
        </w:rPr>
        <w:t xml:space="preserve">La </w:t>
      </w:r>
      <w:r w:rsidRPr="005C4D3C">
        <w:rPr>
          <w:rFonts w:ascii="Calibri" w:hAnsi="Calibri" w:cs="Calibri"/>
          <w:lang w:val="ro-RO"/>
        </w:rPr>
        <w:t>nivel naţional rural, 6,2% din populaţie, 5,3% dintre gospodării şi 5,2% dintre locuinţe sunt situate în zone rurale marginalizate.</w:t>
      </w:r>
    </w:p>
  </w:footnote>
  <w:footnote w:id="15">
    <w:p w:rsidR="00AC1066" w:rsidRPr="005C4D3C" w:rsidRDefault="00AC1066" w:rsidP="00AC1066">
      <w:pPr>
        <w:pStyle w:val="FootnoteText"/>
        <w:spacing w:after="0"/>
        <w:rPr>
          <w:rFonts w:ascii="Calibri" w:hAnsi="Calibri" w:cs="Calibri"/>
          <w:lang w:val="ro-RO"/>
        </w:rPr>
      </w:pPr>
      <w:r w:rsidRPr="005C4D3C">
        <w:rPr>
          <w:rStyle w:val="FootnoteReference"/>
          <w:rFonts w:ascii="Calibri" w:hAnsi="Calibri" w:cs="Calibri"/>
          <w:lang w:val="ro-RO"/>
        </w:rPr>
        <w:footnoteRef/>
      </w:r>
      <w:r w:rsidRPr="005C4D3C">
        <w:rPr>
          <w:rFonts w:ascii="Calibri" w:hAnsi="Calibri" w:cs="Calibri"/>
          <w:lang w:val="ro-RO"/>
        </w:rPr>
        <w:t xml:space="preserve"> </w:t>
      </w:r>
      <w:r w:rsidRPr="005C4D3C">
        <w:rPr>
          <w:rFonts w:ascii="Calibri" w:hAnsi="Calibri" w:cs="Calibri"/>
          <w:i/>
          <w:iCs/>
          <w:lang w:val="ro-RO"/>
        </w:rPr>
        <w:t xml:space="preserve">Studiu </w:t>
      </w:r>
      <w:r w:rsidRPr="005C4D3C">
        <w:rPr>
          <w:rFonts w:ascii="Calibri" w:hAnsi="Calibri" w:cs="Calibri"/>
          <w:i/>
          <w:iCs/>
          <w:lang w:val="ro-RO"/>
        </w:rPr>
        <w:t>de diagnosticare și consultanță pentru politicile de sprijinire a</w:t>
      </w:r>
      <w:r w:rsidRPr="005C4D3C">
        <w:rPr>
          <w:rFonts w:ascii="Calibri" w:hAnsi="Calibri" w:cs="Calibri"/>
          <w:i/>
          <w:lang w:val="ro-RO"/>
        </w:rPr>
        <w:t xml:space="preserve"> incluziunii romilor din România</w:t>
      </w:r>
      <w:r w:rsidRPr="005C4D3C">
        <w:rPr>
          <w:rFonts w:ascii="Calibri" w:hAnsi="Calibri" w:cs="Calibri"/>
          <w:lang w:val="ro-RO"/>
        </w:rPr>
        <w:t xml:space="preserve"> (Banca Mondială, 2014). Zona de studiu și numerele naționale se bazează pe două seturi de date și metodologii diferite, ceea ce ar putea conduce la estimări diferite. Estimarea Zonei de Studiu se bazează pe recensământul din 2011, în timp ce rata de ocupare a romilor angajați ca medie națională este de la Banca Mondială, 2014, în urma unui sondaj regional EU-SILC (2011) și PNUD / BM (2011).</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97417"/>
    <w:multiLevelType w:val="hybridMultilevel"/>
    <w:tmpl w:val="34EEE19A"/>
    <w:lvl w:ilvl="0" w:tplc="04090019">
      <w:start w:val="28"/>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A2EE7"/>
    <w:multiLevelType w:val="hybridMultilevel"/>
    <w:tmpl w:val="F26E2544"/>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56086E"/>
    <w:multiLevelType w:val="hybridMultilevel"/>
    <w:tmpl w:val="BAF0FC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B0D63D6"/>
    <w:multiLevelType w:val="hybridMultilevel"/>
    <w:tmpl w:val="9008EF3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577457C5"/>
    <w:multiLevelType w:val="hybridMultilevel"/>
    <w:tmpl w:val="9EBE56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63D4665"/>
    <w:multiLevelType w:val="hybridMultilevel"/>
    <w:tmpl w:val="9EBE56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2BCF"/>
    <w:rsid w:val="000039F5"/>
    <w:rsid w:val="00007844"/>
    <w:rsid w:val="00011C58"/>
    <w:rsid w:val="000127B2"/>
    <w:rsid w:val="00012D53"/>
    <w:rsid w:val="00013A3C"/>
    <w:rsid w:val="0001401D"/>
    <w:rsid w:val="00014E19"/>
    <w:rsid w:val="00015B07"/>
    <w:rsid w:val="000160AE"/>
    <w:rsid w:val="000164B1"/>
    <w:rsid w:val="00017BE5"/>
    <w:rsid w:val="00020E0D"/>
    <w:rsid w:val="00022FA1"/>
    <w:rsid w:val="000239B6"/>
    <w:rsid w:val="000241E8"/>
    <w:rsid w:val="00024745"/>
    <w:rsid w:val="0002563C"/>
    <w:rsid w:val="00027F32"/>
    <w:rsid w:val="00032748"/>
    <w:rsid w:val="00032E85"/>
    <w:rsid w:val="0003337B"/>
    <w:rsid w:val="00033E4A"/>
    <w:rsid w:val="00035212"/>
    <w:rsid w:val="00035B6F"/>
    <w:rsid w:val="000369F3"/>
    <w:rsid w:val="00036EB5"/>
    <w:rsid w:val="00037431"/>
    <w:rsid w:val="000376B4"/>
    <w:rsid w:val="0004024F"/>
    <w:rsid w:val="00041064"/>
    <w:rsid w:val="000415F4"/>
    <w:rsid w:val="00042E93"/>
    <w:rsid w:val="00043E8F"/>
    <w:rsid w:val="00046D85"/>
    <w:rsid w:val="0005004A"/>
    <w:rsid w:val="000523CB"/>
    <w:rsid w:val="00052922"/>
    <w:rsid w:val="0005383B"/>
    <w:rsid w:val="00053C2B"/>
    <w:rsid w:val="0005414D"/>
    <w:rsid w:val="0005466E"/>
    <w:rsid w:val="0005476C"/>
    <w:rsid w:val="00055A84"/>
    <w:rsid w:val="00060702"/>
    <w:rsid w:val="00060B7A"/>
    <w:rsid w:val="00061B88"/>
    <w:rsid w:val="00062D7B"/>
    <w:rsid w:val="0006302E"/>
    <w:rsid w:val="0006438F"/>
    <w:rsid w:val="0006457F"/>
    <w:rsid w:val="00066A5D"/>
    <w:rsid w:val="00066D5C"/>
    <w:rsid w:val="00072284"/>
    <w:rsid w:val="00072B5A"/>
    <w:rsid w:val="00074014"/>
    <w:rsid w:val="000740A6"/>
    <w:rsid w:val="0007471C"/>
    <w:rsid w:val="00075557"/>
    <w:rsid w:val="00075990"/>
    <w:rsid w:val="000804B2"/>
    <w:rsid w:val="00081BFB"/>
    <w:rsid w:val="00081EB1"/>
    <w:rsid w:val="00082293"/>
    <w:rsid w:val="00082494"/>
    <w:rsid w:val="00085C90"/>
    <w:rsid w:val="000946DF"/>
    <w:rsid w:val="00094AFE"/>
    <w:rsid w:val="000A0DA8"/>
    <w:rsid w:val="000A210D"/>
    <w:rsid w:val="000A2477"/>
    <w:rsid w:val="000A29D3"/>
    <w:rsid w:val="000A34CB"/>
    <w:rsid w:val="000A3570"/>
    <w:rsid w:val="000A405A"/>
    <w:rsid w:val="000A4AE0"/>
    <w:rsid w:val="000A5113"/>
    <w:rsid w:val="000A6BE8"/>
    <w:rsid w:val="000B00E3"/>
    <w:rsid w:val="000B0846"/>
    <w:rsid w:val="000B1D82"/>
    <w:rsid w:val="000B338A"/>
    <w:rsid w:val="000B4188"/>
    <w:rsid w:val="000B424A"/>
    <w:rsid w:val="000B503E"/>
    <w:rsid w:val="000B6370"/>
    <w:rsid w:val="000B760E"/>
    <w:rsid w:val="000C322D"/>
    <w:rsid w:val="000C52AF"/>
    <w:rsid w:val="000C65CD"/>
    <w:rsid w:val="000C7E2C"/>
    <w:rsid w:val="000D1A4D"/>
    <w:rsid w:val="000D2379"/>
    <w:rsid w:val="000D28D7"/>
    <w:rsid w:val="000D2DDA"/>
    <w:rsid w:val="000D5C51"/>
    <w:rsid w:val="000D6E90"/>
    <w:rsid w:val="000D718B"/>
    <w:rsid w:val="000E1CC3"/>
    <w:rsid w:val="000E2C08"/>
    <w:rsid w:val="000E2D49"/>
    <w:rsid w:val="000E2DEA"/>
    <w:rsid w:val="000E3993"/>
    <w:rsid w:val="000E4530"/>
    <w:rsid w:val="000E526D"/>
    <w:rsid w:val="000E5803"/>
    <w:rsid w:val="000E77E8"/>
    <w:rsid w:val="000F179E"/>
    <w:rsid w:val="000F1A74"/>
    <w:rsid w:val="000F5B35"/>
    <w:rsid w:val="000F6B4D"/>
    <w:rsid w:val="000F6F07"/>
    <w:rsid w:val="000F74E9"/>
    <w:rsid w:val="00100C4E"/>
    <w:rsid w:val="00100FAA"/>
    <w:rsid w:val="00102C25"/>
    <w:rsid w:val="00102E47"/>
    <w:rsid w:val="00103D5E"/>
    <w:rsid w:val="00107B82"/>
    <w:rsid w:val="00107D25"/>
    <w:rsid w:val="00112DE1"/>
    <w:rsid w:val="00113F41"/>
    <w:rsid w:val="00114381"/>
    <w:rsid w:val="00115E77"/>
    <w:rsid w:val="001167ED"/>
    <w:rsid w:val="0011775D"/>
    <w:rsid w:val="001201FD"/>
    <w:rsid w:val="00120604"/>
    <w:rsid w:val="0012162A"/>
    <w:rsid w:val="001218D3"/>
    <w:rsid w:val="00124403"/>
    <w:rsid w:val="0012454C"/>
    <w:rsid w:val="001248F2"/>
    <w:rsid w:val="001259F8"/>
    <w:rsid w:val="0013086C"/>
    <w:rsid w:val="00130CA5"/>
    <w:rsid w:val="00130F4A"/>
    <w:rsid w:val="00131948"/>
    <w:rsid w:val="00131B6A"/>
    <w:rsid w:val="00134EAD"/>
    <w:rsid w:val="001354E9"/>
    <w:rsid w:val="001355C5"/>
    <w:rsid w:val="0014034C"/>
    <w:rsid w:val="00141B4B"/>
    <w:rsid w:val="0014273D"/>
    <w:rsid w:val="0014595B"/>
    <w:rsid w:val="0014614D"/>
    <w:rsid w:val="001523C1"/>
    <w:rsid w:val="00153128"/>
    <w:rsid w:val="00153A81"/>
    <w:rsid w:val="00153D48"/>
    <w:rsid w:val="001542A9"/>
    <w:rsid w:val="00157316"/>
    <w:rsid w:val="001577CC"/>
    <w:rsid w:val="00157CA2"/>
    <w:rsid w:val="00161BE6"/>
    <w:rsid w:val="00163492"/>
    <w:rsid w:val="001639B4"/>
    <w:rsid w:val="00166FDE"/>
    <w:rsid w:val="0016704D"/>
    <w:rsid w:val="00167A36"/>
    <w:rsid w:val="00167FAA"/>
    <w:rsid w:val="001705B4"/>
    <w:rsid w:val="00171391"/>
    <w:rsid w:val="001723D2"/>
    <w:rsid w:val="00176A84"/>
    <w:rsid w:val="0017710E"/>
    <w:rsid w:val="001800A0"/>
    <w:rsid w:val="001803F7"/>
    <w:rsid w:val="00180EAA"/>
    <w:rsid w:val="0018280E"/>
    <w:rsid w:val="00183F0F"/>
    <w:rsid w:val="00184609"/>
    <w:rsid w:val="0019105C"/>
    <w:rsid w:val="00192D50"/>
    <w:rsid w:val="0019395F"/>
    <w:rsid w:val="00193AD5"/>
    <w:rsid w:val="00195C6C"/>
    <w:rsid w:val="00196778"/>
    <w:rsid w:val="00197F2E"/>
    <w:rsid w:val="001A0EAD"/>
    <w:rsid w:val="001A51B0"/>
    <w:rsid w:val="001A55AC"/>
    <w:rsid w:val="001A57D0"/>
    <w:rsid w:val="001A6550"/>
    <w:rsid w:val="001B02B3"/>
    <w:rsid w:val="001B0A7A"/>
    <w:rsid w:val="001B1B70"/>
    <w:rsid w:val="001B462E"/>
    <w:rsid w:val="001C0C85"/>
    <w:rsid w:val="001C26BB"/>
    <w:rsid w:val="001C3B88"/>
    <w:rsid w:val="001C46EB"/>
    <w:rsid w:val="001C579A"/>
    <w:rsid w:val="001D069A"/>
    <w:rsid w:val="001D1B0D"/>
    <w:rsid w:val="001D2958"/>
    <w:rsid w:val="001D4BAE"/>
    <w:rsid w:val="001D693E"/>
    <w:rsid w:val="001D7E44"/>
    <w:rsid w:val="001E0800"/>
    <w:rsid w:val="001E087E"/>
    <w:rsid w:val="001E17F7"/>
    <w:rsid w:val="001E1AF7"/>
    <w:rsid w:val="001E2F1E"/>
    <w:rsid w:val="001F14F8"/>
    <w:rsid w:val="001F22DD"/>
    <w:rsid w:val="001F38BA"/>
    <w:rsid w:val="001F3D72"/>
    <w:rsid w:val="001F41CC"/>
    <w:rsid w:val="001F54CE"/>
    <w:rsid w:val="001F7FFA"/>
    <w:rsid w:val="0020140A"/>
    <w:rsid w:val="002021E8"/>
    <w:rsid w:val="00202F68"/>
    <w:rsid w:val="00205EC1"/>
    <w:rsid w:val="00206896"/>
    <w:rsid w:val="0020689C"/>
    <w:rsid w:val="00212B80"/>
    <w:rsid w:val="00212BFD"/>
    <w:rsid w:val="0021307F"/>
    <w:rsid w:val="002134AA"/>
    <w:rsid w:val="00213589"/>
    <w:rsid w:val="002138BA"/>
    <w:rsid w:val="00213BCB"/>
    <w:rsid w:val="002156E5"/>
    <w:rsid w:val="002164B7"/>
    <w:rsid w:val="00216AFD"/>
    <w:rsid w:val="00220514"/>
    <w:rsid w:val="002226D8"/>
    <w:rsid w:val="00222BFA"/>
    <w:rsid w:val="00222F90"/>
    <w:rsid w:val="0022362E"/>
    <w:rsid w:val="002271EA"/>
    <w:rsid w:val="00227419"/>
    <w:rsid w:val="002302C0"/>
    <w:rsid w:val="002320CA"/>
    <w:rsid w:val="0023407E"/>
    <w:rsid w:val="00235CCE"/>
    <w:rsid w:val="00235F12"/>
    <w:rsid w:val="002403CF"/>
    <w:rsid w:val="0024139B"/>
    <w:rsid w:val="00245093"/>
    <w:rsid w:val="0024552A"/>
    <w:rsid w:val="00245656"/>
    <w:rsid w:val="0024617E"/>
    <w:rsid w:val="00246B07"/>
    <w:rsid w:val="0025085D"/>
    <w:rsid w:val="00250DB4"/>
    <w:rsid w:val="00252815"/>
    <w:rsid w:val="0026010C"/>
    <w:rsid w:val="00260253"/>
    <w:rsid w:val="00260935"/>
    <w:rsid w:val="00263EEB"/>
    <w:rsid w:val="00264CD9"/>
    <w:rsid w:val="00264FE4"/>
    <w:rsid w:val="0026599F"/>
    <w:rsid w:val="00267413"/>
    <w:rsid w:val="002702CD"/>
    <w:rsid w:val="002705C6"/>
    <w:rsid w:val="002720AB"/>
    <w:rsid w:val="002724C1"/>
    <w:rsid w:val="002730E9"/>
    <w:rsid w:val="00273E14"/>
    <w:rsid w:val="0027411D"/>
    <w:rsid w:val="002745A6"/>
    <w:rsid w:val="00275793"/>
    <w:rsid w:val="0027688A"/>
    <w:rsid w:val="00277D7D"/>
    <w:rsid w:val="00280049"/>
    <w:rsid w:val="0028021C"/>
    <w:rsid w:val="00280378"/>
    <w:rsid w:val="00280BD8"/>
    <w:rsid w:val="00280EEF"/>
    <w:rsid w:val="0028117A"/>
    <w:rsid w:val="002816D1"/>
    <w:rsid w:val="00282D46"/>
    <w:rsid w:val="00284E7F"/>
    <w:rsid w:val="002852F2"/>
    <w:rsid w:val="0028761B"/>
    <w:rsid w:val="0029373A"/>
    <w:rsid w:val="00293BAA"/>
    <w:rsid w:val="00294B28"/>
    <w:rsid w:val="00294EE1"/>
    <w:rsid w:val="002961EA"/>
    <w:rsid w:val="00296915"/>
    <w:rsid w:val="00297A45"/>
    <w:rsid w:val="00297B62"/>
    <w:rsid w:val="002A05B4"/>
    <w:rsid w:val="002A1094"/>
    <w:rsid w:val="002A132D"/>
    <w:rsid w:val="002A1AED"/>
    <w:rsid w:val="002A1F2B"/>
    <w:rsid w:val="002A22B6"/>
    <w:rsid w:val="002A319C"/>
    <w:rsid w:val="002A3A5A"/>
    <w:rsid w:val="002A3AFC"/>
    <w:rsid w:val="002A443E"/>
    <w:rsid w:val="002A57C9"/>
    <w:rsid w:val="002A636F"/>
    <w:rsid w:val="002B146C"/>
    <w:rsid w:val="002B1EDE"/>
    <w:rsid w:val="002B2291"/>
    <w:rsid w:val="002B46D8"/>
    <w:rsid w:val="002B478A"/>
    <w:rsid w:val="002B57F6"/>
    <w:rsid w:val="002B5AF8"/>
    <w:rsid w:val="002B64A3"/>
    <w:rsid w:val="002B675F"/>
    <w:rsid w:val="002B6B35"/>
    <w:rsid w:val="002C057B"/>
    <w:rsid w:val="002C1DF8"/>
    <w:rsid w:val="002C3511"/>
    <w:rsid w:val="002C36C6"/>
    <w:rsid w:val="002C3E32"/>
    <w:rsid w:val="002C485D"/>
    <w:rsid w:val="002C5A14"/>
    <w:rsid w:val="002C695F"/>
    <w:rsid w:val="002C6AF5"/>
    <w:rsid w:val="002D1655"/>
    <w:rsid w:val="002D2B02"/>
    <w:rsid w:val="002D2E35"/>
    <w:rsid w:val="002D2E36"/>
    <w:rsid w:val="002D5736"/>
    <w:rsid w:val="002D7B40"/>
    <w:rsid w:val="002E00A8"/>
    <w:rsid w:val="002E5007"/>
    <w:rsid w:val="002E5597"/>
    <w:rsid w:val="002E6887"/>
    <w:rsid w:val="002E6EB6"/>
    <w:rsid w:val="002E6F54"/>
    <w:rsid w:val="002F0B58"/>
    <w:rsid w:val="002F4690"/>
    <w:rsid w:val="002F484E"/>
    <w:rsid w:val="002F49CB"/>
    <w:rsid w:val="002F5573"/>
    <w:rsid w:val="002F6AB4"/>
    <w:rsid w:val="002F6D05"/>
    <w:rsid w:val="002F704B"/>
    <w:rsid w:val="002F775A"/>
    <w:rsid w:val="0030031D"/>
    <w:rsid w:val="00300B67"/>
    <w:rsid w:val="00303ACE"/>
    <w:rsid w:val="003057CA"/>
    <w:rsid w:val="003060A4"/>
    <w:rsid w:val="003060DC"/>
    <w:rsid w:val="00306FA5"/>
    <w:rsid w:val="00307662"/>
    <w:rsid w:val="003109D5"/>
    <w:rsid w:val="00311351"/>
    <w:rsid w:val="00311B2C"/>
    <w:rsid w:val="0031200B"/>
    <w:rsid w:val="00313653"/>
    <w:rsid w:val="0031370B"/>
    <w:rsid w:val="00315F60"/>
    <w:rsid w:val="00316EB6"/>
    <w:rsid w:val="00317E7A"/>
    <w:rsid w:val="00320268"/>
    <w:rsid w:val="003207C7"/>
    <w:rsid w:val="00321708"/>
    <w:rsid w:val="003223BE"/>
    <w:rsid w:val="00322E33"/>
    <w:rsid w:val="00323195"/>
    <w:rsid w:val="00325DC9"/>
    <w:rsid w:val="003344CE"/>
    <w:rsid w:val="0033523A"/>
    <w:rsid w:val="00335819"/>
    <w:rsid w:val="00336A74"/>
    <w:rsid w:val="003373AC"/>
    <w:rsid w:val="00340618"/>
    <w:rsid w:val="00343502"/>
    <w:rsid w:val="003444EC"/>
    <w:rsid w:val="00344AD7"/>
    <w:rsid w:val="003460A2"/>
    <w:rsid w:val="00350D17"/>
    <w:rsid w:val="00350DAE"/>
    <w:rsid w:val="00351B23"/>
    <w:rsid w:val="00352EBB"/>
    <w:rsid w:val="0035452C"/>
    <w:rsid w:val="003550C0"/>
    <w:rsid w:val="0035552B"/>
    <w:rsid w:val="00356091"/>
    <w:rsid w:val="003565B3"/>
    <w:rsid w:val="003566F2"/>
    <w:rsid w:val="0035704E"/>
    <w:rsid w:val="00357D21"/>
    <w:rsid w:val="00360043"/>
    <w:rsid w:val="00360CB6"/>
    <w:rsid w:val="00362122"/>
    <w:rsid w:val="0036252F"/>
    <w:rsid w:val="003628C1"/>
    <w:rsid w:val="00363FE2"/>
    <w:rsid w:val="003648B1"/>
    <w:rsid w:val="00364CFE"/>
    <w:rsid w:val="003656D9"/>
    <w:rsid w:val="00367F73"/>
    <w:rsid w:val="00370BBD"/>
    <w:rsid w:val="00371832"/>
    <w:rsid w:val="003718E3"/>
    <w:rsid w:val="00374868"/>
    <w:rsid w:val="0037624D"/>
    <w:rsid w:val="0037685B"/>
    <w:rsid w:val="00376E93"/>
    <w:rsid w:val="0037748A"/>
    <w:rsid w:val="00377966"/>
    <w:rsid w:val="00377A6F"/>
    <w:rsid w:val="003825F5"/>
    <w:rsid w:val="003852F4"/>
    <w:rsid w:val="003859D3"/>
    <w:rsid w:val="0038636B"/>
    <w:rsid w:val="00386550"/>
    <w:rsid w:val="003901C6"/>
    <w:rsid w:val="00391063"/>
    <w:rsid w:val="00393BC3"/>
    <w:rsid w:val="003943FC"/>
    <w:rsid w:val="0039529A"/>
    <w:rsid w:val="003956A8"/>
    <w:rsid w:val="00397041"/>
    <w:rsid w:val="0039735A"/>
    <w:rsid w:val="00397DAC"/>
    <w:rsid w:val="003A021D"/>
    <w:rsid w:val="003A05AB"/>
    <w:rsid w:val="003A15F3"/>
    <w:rsid w:val="003A2473"/>
    <w:rsid w:val="003A2EE2"/>
    <w:rsid w:val="003A3A19"/>
    <w:rsid w:val="003A40D6"/>
    <w:rsid w:val="003A6006"/>
    <w:rsid w:val="003A61FF"/>
    <w:rsid w:val="003A7118"/>
    <w:rsid w:val="003B0DC4"/>
    <w:rsid w:val="003B52D8"/>
    <w:rsid w:val="003B57F1"/>
    <w:rsid w:val="003B5C74"/>
    <w:rsid w:val="003B6476"/>
    <w:rsid w:val="003B72B8"/>
    <w:rsid w:val="003C1613"/>
    <w:rsid w:val="003C3B92"/>
    <w:rsid w:val="003C565E"/>
    <w:rsid w:val="003C5B6A"/>
    <w:rsid w:val="003C6800"/>
    <w:rsid w:val="003C6C61"/>
    <w:rsid w:val="003C6D2E"/>
    <w:rsid w:val="003C7C8E"/>
    <w:rsid w:val="003D11C0"/>
    <w:rsid w:val="003D2C01"/>
    <w:rsid w:val="003E05C7"/>
    <w:rsid w:val="003E25E6"/>
    <w:rsid w:val="003E29FE"/>
    <w:rsid w:val="003E4230"/>
    <w:rsid w:val="003E44D1"/>
    <w:rsid w:val="003E46D1"/>
    <w:rsid w:val="003E5E4B"/>
    <w:rsid w:val="003E637D"/>
    <w:rsid w:val="003E6A7F"/>
    <w:rsid w:val="003E6DF0"/>
    <w:rsid w:val="003E6F75"/>
    <w:rsid w:val="003E78EA"/>
    <w:rsid w:val="003E79A3"/>
    <w:rsid w:val="003E7A2A"/>
    <w:rsid w:val="003F0A01"/>
    <w:rsid w:val="003F0D70"/>
    <w:rsid w:val="003F10E2"/>
    <w:rsid w:val="003F25F9"/>
    <w:rsid w:val="003F6EA3"/>
    <w:rsid w:val="00401AB4"/>
    <w:rsid w:val="00402789"/>
    <w:rsid w:val="0040392D"/>
    <w:rsid w:val="00406704"/>
    <w:rsid w:val="0041186B"/>
    <w:rsid w:val="004133F5"/>
    <w:rsid w:val="00414E05"/>
    <w:rsid w:val="004154BA"/>
    <w:rsid w:val="004159C5"/>
    <w:rsid w:val="00415CAC"/>
    <w:rsid w:val="00417337"/>
    <w:rsid w:val="0042094B"/>
    <w:rsid w:val="00420ABF"/>
    <w:rsid w:val="00421F81"/>
    <w:rsid w:val="00422F15"/>
    <w:rsid w:val="0042370E"/>
    <w:rsid w:val="00423874"/>
    <w:rsid w:val="00424B27"/>
    <w:rsid w:val="00424F4E"/>
    <w:rsid w:val="00426623"/>
    <w:rsid w:val="00426CB2"/>
    <w:rsid w:val="004306ED"/>
    <w:rsid w:val="00430C28"/>
    <w:rsid w:val="00432350"/>
    <w:rsid w:val="004330FB"/>
    <w:rsid w:val="0044213B"/>
    <w:rsid w:val="00443021"/>
    <w:rsid w:val="00443075"/>
    <w:rsid w:val="004455E5"/>
    <w:rsid w:val="004463E7"/>
    <w:rsid w:val="00446A81"/>
    <w:rsid w:val="004472FC"/>
    <w:rsid w:val="00447738"/>
    <w:rsid w:val="0045134F"/>
    <w:rsid w:val="0045162C"/>
    <w:rsid w:val="00454B9A"/>
    <w:rsid w:val="00454CCF"/>
    <w:rsid w:val="0045548E"/>
    <w:rsid w:val="0045696E"/>
    <w:rsid w:val="00456B9C"/>
    <w:rsid w:val="00457C60"/>
    <w:rsid w:val="0046151A"/>
    <w:rsid w:val="004619AC"/>
    <w:rsid w:val="0046251A"/>
    <w:rsid w:val="00462AA3"/>
    <w:rsid w:val="0046307C"/>
    <w:rsid w:val="00464246"/>
    <w:rsid w:val="00465115"/>
    <w:rsid w:val="004662E6"/>
    <w:rsid w:val="00466925"/>
    <w:rsid w:val="0046770B"/>
    <w:rsid w:val="00467AC9"/>
    <w:rsid w:val="00467CF3"/>
    <w:rsid w:val="004705B7"/>
    <w:rsid w:val="00470741"/>
    <w:rsid w:val="00470905"/>
    <w:rsid w:val="004710F3"/>
    <w:rsid w:val="0047139F"/>
    <w:rsid w:val="00473700"/>
    <w:rsid w:val="00473831"/>
    <w:rsid w:val="0047615A"/>
    <w:rsid w:val="00477340"/>
    <w:rsid w:val="00481E3E"/>
    <w:rsid w:val="00484D16"/>
    <w:rsid w:val="00485CEE"/>
    <w:rsid w:val="00486D67"/>
    <w:rsid w:val="004875D5"/>
    <w:rsid w:val="004922C9"/>
    <w:rsid w:val="00492EF9"/>
    <w:rsid w:val="0049394C"/>
    <w:rsid w:val="00493C51"/>
    <w:rsid w:val="00497061"/>
    <w:rsid w:val="00497A36"/>
    <w:rsid w:val="004A02E8"/>
    <w:rsid w:val="004A05B8"/>
    <w:rsid w:val="004A08FF"/>
    <w:rsid w:val="004A09AE"/>
    <w:rsid w:val="004A41E2"/>
    <w:rsid w:val="004A5161"/>
    <w:rsid w:val="004A5639"/>
    <w:rsid w:val="004A5997"/>
    <w:rsid w:val="004A7824"/>
    <w:rsid w:val="004B0AB4"/>
    <w:rsid w:val="004B12F7"/>
    <w:rsid w:val="004B2502"/>
    <w:rsid w:val="004B4190"/>
    <w:rsid w:val="004B4E5B"/>
    <w:rsid w:val="004B4F98"/>
    <w:rsid w:val="004C3BCA"/>
    <w:rsid w:val="004C5E29"/>
    <w:rsid w:val="004C6836"/>
    <w:rsid w:val="004C6F7C"/>
    <w:rsid w:val="004D1373"/>
    <w:rsid w:val="004D156F"/>
    <w:rsid w:val="004D33CA"/>
    <w:rsid w:val="004D46CB"/>
    <w:rsid w:val="004D47DA"/>
    <w:rsid w:val="004D53D8"/>
    <w:rsid w:val="004D6B13"/>
    <w:rsid w:val="004E206A"/>
    <w:rsid w:val="004E2B70"/>
    <w:rsid w:val="004E3BC4"/>
    <w:rsid w:val="004E3C04"/>
    <w:rsid w:val="004E4129"/>
    <w:rsid w:val="004E43DE"/>
    <w:rsid w:val="004E4B28"/>
    <w:rsid w:val="004E5168"/>
    <w:rsid w:val="004E53B9"/>
    <w:rsid w:val="004E5958"/>
    <w:rsid w:val="004F0151"/>
    <w:rsid w:val="004F041B"/>
    <w:rsid w:val="004F2422"/>
    <w:rsid w:val="004F27D5"/>
    <w:rsid w:val="004F2F38"/>
    <w:rsid w:val="004F346D"/>
    <w:rsid w:val="004F3F59"/>
    <w:rsid w:val="004F450A"/>
    <w:rsid w:val="004F47ED"/>
    <w:rsid w:val="004F4826"/>
    <w:rsid w:val="004F54A5"/>
    <w:rsid w:val="004F7C4B"/>
    <w:rsid w:val="00500269"/>
    <w:rsid w:val="005006AF"/>
    <w:rsid w:val="00501383"/>
    <w:rsid w:val="00502268"/>
    <w:rsid w:val="005030BA"/>
    <w:rsid w:val="00504049"/>
    <w:rsid w:val="00506190"/>
    <w:rsid w:val="005069D6"/>
    <w:rsid w:val="00506DD1"/>
    <w:rsid w:val="00506F2B"/>
    <w:rsid w:val="00507480"/>
    <w:rsid w:val="005077BD"/>
    <w:rsid w:val="005113E7"/>
    <w:rsid w:val="005120F2"/>
    <w:rsid w:val="005138D6"/>
    <w:rsid w:val="00515F6A"/>
    <w:rsid w:val="00516653"/>
    <w:rsid w:val="00521052"/>
    <w:rsid w:val="005218AA"/>
    <w:rsid w:val="00522451"/>
    <w:rsid w:val="005247B8"/>
    <w:rsid w:val="0052522A"/>
    <w:rsid w:val="005261CD"/>
    <w:rsid w:val="00527371"/>
    <w:rsid w:val="005273B8"/>
    <w:rsid w:val="00527829"/>
    <w:rsid w:val="0052793B"/>
    <w:rsid w:val="00531EB3"/>
    <w:rsid w:val="00532145"/>
    <w:rsid w:val="00533E2B"/>
    <w:rsid w:val="005358B9"/>
    <w:rsid w:val="00536545"/>
    <w:rsid w:val="005365EF"/>
    <w:rsid w:val="00541D7C"/>
    <w:rsid w:val="00543E30"/>
    <w:rsid w:val="00544665"/>
    <w:rsid w:val="00545BF8"/>
    <w:rsid w:val="005462FF"/>
    <w:rsid w:val="00546850"/>
    <w:rsid w:val="00547C90"/>
    <w:rsid w:val="00550E82"/>
    <w:rsid w:val="00553972"/>
    <w:rsid w:val="0055461D"/>
    <w:rsid w:val="00554EE2"/>
    <w:rsid w:val="00555DBB"/>
    <w:rsid w:val="00556792"/>
    <w:rsid w:val="00556A0C"/>
    <w:rsid w:val="00557A9D"/>
    <w:rsid w:val="00557B79"/>
    <w:rsid w:val="00557CB5"/>
    <w:rsid w:val="00561253"/>
    <w:rsid w:val="00561BCD"/>
    <w:rsid w:val="0056506C"/>
    <w:rsid w:val="005658F2"/>
    <w:rsid w:val="00570268"/>
    <w:rsid w:val="00570B1E"/>
    <w:rsid w:val="005715F8"/>
    <w:rsid w:val="00571C0E"/>
    <w:rsid w:val="00571C39"/>
    <w:rsid w:val="0057289D"/>
    <w:rsid w:val="00573224"/>
    <w:rsid w:val="00573479"/>
    <w:rsid w:val="0057593D"/>
    <w:rsid w:val="00575C76"/>
    <w:rsid w:val="00580110"/>
    <w:rsid w:val="00580DD3"/>
    <w:rsid w:val="0058222D"/>
    <w:rsid w:val="005825E1"/>
    <w:rsid w:val="00590029"/>
    <w:rsid w:val="0059096E"/>
    <w:rsid w:val="0059102F"/>
    <w:rsid w:val="0059171B"/>
    <w:rsid w:val="00591D71"/>
    <w:rsid w:val="00593A43"/>
    <w:rsid w:val="00595269"/>
    <w:rsid w:val="0059695C"/>
    <w:rsid w:val="00597520"/>
    <w:rsid w:val="005A026E"/>
    <w:rsid w:val="005A1A44"/>
    <w:rsid w:val="005A2807"/>
    <w:rsid w:val="005A2825"/>
    <w:rsid w:val="005A2C3C"/>
    <w:rsid w:val="005A4E45"/>
    <w:rsid w:val="005A5112"/>
    <w:rsid w:val="005A52BB"/>
    <w:rsid w:val="005B479B"/>
    <w:rsid w:val="005B6EF9"/>
    <w:rsid w:val="005C00DD"/>
    <w:rsid w:val="005C1552"/>
    <w:rsid w:val="005C4443"/>
    <w:rsid w:val="005C5678"/>
    <w:rsid w:val="005C61A1"/>
    <w:rsid w:val="005C6235"/>
    <w:rsid w:val="005D0C92"/>
    <w:rsid w:val="005D222C"/>
    <w:rsid w:val="005D406D"/>
    <w:rsid w:val="005D46CC"/>
    <w:rsid w:val="005D5F68"/>
    <w:rsid w:val="005D60EB"/>
    <w:rsid w:val="005D610E"/>
    <w:rsid w:val="005D712A"/>
    <w:rsid w:val="005D735C"/>
    <w:rsid w:val="005E0206"/>
    <w:rsid w:val="005E0EEF"/>
    <w:rsid w:val="005E2C89"/>
    <w:rsid w:val="005E4397"/>
    <w:rsid w:val="005E5B67"/>
    <w:rsid w:val="005E674E"/>
    <w:rsid w:val="005F2426"/>
    <w:rsid w:val="005F2AA6"/>
    <w:rsid w:val="005F41CF"/>
    <w:rsid w:val="005F5CFC"/>
    <w:rsid w:val="005F663E"/>
    <w:rsid w:val="005F744C"/>
    <w:rsid w:val="0060010B"/>
    <w:rsid w:val="0060012B"/>
    <w:rsid w:val="00600E51"/>
    <w:rsid w:val="00602674"/>
    <w:rsid w:val="00603FBE"/>
    <w:rsid w:val="00605248"/>
    <w:rsid w:val="00605919"/>
    <w:rsid w:val="00605BCC"/>
    <w:rsid w:val="00605F70"/>
    <w:rsid w:val="00606C3F"/>
    <w:rsid w:val="006100A3"/>
    <w:rsid w:val="00610CE6"/>
    <w:rsid w:val="00611827"/>
    <w:rsid w:val="006139A7"/>
    <w:rsid w:val="00615226"/>
    <w:rsid w:val="00615329"/>
    <w:rsid w:val="006155BB"/>
    <w:rsid w:val="00615FA1"/>
    <w:rsid w:val="00617673"/>
    <w:rsid w:val="00617FFB"/>
    <w:rsid w:val="00620923"/>
    <w:rsid w:val="0062145D"/>
    <w:rsid w:val="0062203A"/>
    <w:rsid w:val="0062204A"/>
    <w:rsid w:val="006221AE"/>
    <w:rsid w:val="00622D2A"/>
    <w:rsid w:val="00624FDA"/>
    <w:rsid w:val="006254BD"/>
    <w:rsid w:val="00626CBD"/>
    <w:rsid w:val="00627200"/>
    <w:rsid w:val="00632A02"/>
    <w:rsid w:val="00633660"/>
    <w:rsid w:val="00633D32"/>
    <w:rsid w:val="0063406E"/>
    <w:rsid w:val="006352A4"/>
    <w:rsid w:val="00636F3B"/>
    <w:rsid w:val="006370EB"/>
    <w:rsid w:val="006422F5"/>
    <w:rsid w:val="006444EE"/>
    <w:rsid w:val="00646361"/>
    <w:rsid w:val="006500E3"/>
    <w:rsid w:val="00650192"/>
    <w:rsid w:val="00650E15"/>
    <w:rsid w:val="00652CD6"/>
    <w:rsid w:val="0065463C"/>
    <w:rsid w:val="006548E5"/>
    <w:rsid w:val="006565A3"/>
    <w:rsid w:val="00657EF0"/>
    <w:rsid w:val="006604FC"/>
    <w:rsid w:val="0066189A"/>
    <w:rsid w:val="006620A0"/>
    <w:rsid w:val="0066222C"/>
    <w:rsid w:val="00663B0C"/>
    <w:rsid w:val="0066512C"/>
    <w:rsid w:val="00665CE5"/>
    <w:rsid w:val="006665D9"/>
    <w:rsid w:val="006669BD"/>
    <w:rsid w:val="00666B0B"/>
    <w:rsid w:val="00667E6E"/>
    <w:rsid w:val="00671468"/>
    <w:rsid w:val="00671F42"/>
    <w:rsid w:val="0067417A"/>
    <w:rsid w:val="006757D9"/>
    <w:rsid w:val="00676DBD"/>
    <w:rsid w:val="0067722C"/>
    <w:rsid w:val="00677392"/>
    <w:rsid w:val="00677F5E"/>
    <w:rsid w:val="006801A5"/>
    <w:rsid w:val="006816F9"/>
    <w:rsid w:val="006859C7"/>
    <w:rsid w:val="00686D65"/>
    <w:rsid w:val="006871EC"/>
    <w:rsid w:val="00691951"/>
    <w:rsid w:val="00691CBC"/>
    <w:rsid w:val="00692345"/>
    <w:rsid w:val="00694B87"/>
    <w:rsid w:val="00696100"/>
    <w:rsid w:val="00696DC3"/>
    <w:rsid w:val="006971D2"/>
    <w:rsid w:val="006A0808"/>
    <w:rsid w:val="006A25BD"/>
    <w:rsid w:val="006A43EF"/>
    <w:rsid w:val="006A7B6C"/>
    <w:rsid w:val="006B193C"/>
    <w:rsid w:val="006B71ED"/>
    <w:rsid w:val="006B727E"/>
    <w:rsid w:val="006C0902"/>
    <w:rsid w:val="006C1798"/>
    <w:rsid w:val="006C45AF"/>
    <w:rsid w:val="006C47E7"/>
    <w:rsid w:val="006C51F1"/>
    <w:rsid w:val="006C5FF8"/>
    <w:rsid w:val="006C631C"/>
    <w:rsid w:val="006C6A1E"/>
    <w:rsid w:val="006C6F42"/>
    <w:rsid w:val="006C77FC"/>
    <w:rsid w:val="006D0168"/>
    <w:rsid w:val="006D14E5"/>
    <w:rsid w:val="006D17DE"/>
    <w:rsid w:val="006D2937"/>
    <w:rsid w:val="006D4686"/>
    <w:rsid w:val="006D4F83"/>
    <w:rsid w:val="006D5379"/>
    <w:rsid w:val="006D663B"/>
    <w:rsid w:val="006E11B7"/>
    <w:rsid w:val="006E3F27"/>
    <w:rsid w:val="006E4304"/>
    <w:rsid w:val="006E4447"/>
    <w:rsid w:val="006E4D23"/>
    <w:rsid w:val="006E57B5"/>
    <w:rsid w:val="006E5939"/>
    <w:rsid w:val="006E6B1B"/>
    <w:rsid w:val="006E6B51"/>
    <w:rsid w:val="006E7047"/>
    <w:rsid w:val="006F05F0"/>
    <w:rsid w:val="006F1F2E"/>
    <w:rsid w:val="006F2D14"/>
    <w:rsid w:val="006F2F0C"/>
    <w:rsid w:val="006F3217"/>
    <w:rsid w:val="006F4122"/>
    <w:rsid w:val="00700361"/>
    <w:rsid w:val="00701069"/>
    <w:rsid w:val="007012C1"/>
    <w:rsid w:val="00701C6B"/>
    <w:rsid w:val="007040A2"/>
    <w:rsid w:val="00705643"/>
    <w:rsid w:val="00706148"/>
    <w:rsid w:val="0070794E"/>
    <w:rsid w:val="00710B2C"/>
    <w:rsid w:val="00710C0D"/>
    <w:rsid w:val="00711492"/>
    <w:rsid w:val="0071162E"/>
    <w:rsid w:val="00712FD0"/>
    <w:rsid w:val="00715064"/>
    <w:rsid w:val="00715185"/>
    <w:rsid w:val="007155D3"/>
    <w:rsid w:val="00716590"/>
    <w:rsid w:val="007168E1"/>
    <w:rsid w:val="007169C1"/>
    <w:rsid w:val="0071715C"/>
    <w:rsid w:val="00717666"/>
    <w:rsid w:val="0071792E"/>
    <w:rsid w:val="00717E9C"/>
    <w:rsid w:val="00717ECB"/>
    <w:rsid w:val="00722293"/>
    <w:rsid w:val="00723D5D"/>
    <w:rsid w:val="00724142"/>
    <w:rsid w:val="00725467"/>
    <w:rsid w:val="007255F7"/>
    <w:rsid w:val="0072779C"/>
    <w:rsid w:val="00735961"/>
    <w:rsid w:val="00740599"/>
    <w:rsid w:val="00740BD2"/>
    <w:rsid w:val="00740D93"/>
    <w:rsid w:val="007410CA"/>
    <w:rsid w:val="00742414"/>
    <w:rsid w:val="0074339E"/>
    <w:rsid w:val="007441B6"/>
    <w:rsid w:val="00744E12"/>
    <w:rsid w:val="007462A7"/>
    <w:rsid w:val="00751B5F"/>
    <w:rsid w:val="007538A2"/>
    <w:rsid w:val="00755DB0"/>
    <w:rsid w:val="00756A80"/>
    <w:rsid w:val="00761A9E"/>
    <w:rsid w:val="00763C0B"/>
    <w:rsid w:val="0076497C"/>
    <w:rsid w:val="00765B62"/>
    <w:rsid w:val="00766D4F"/>
    <w:rsid w:val="00767BC7"/>
    <w:rsid w:val="00770445"/>
    <w:rsid w:val="00772B3F"/>
    <w:rsid w:val="00773948"/>
    <w:rsid w:val="00774F58"/>
    <w:rsid w:val="007750CF"/>
    <w:rsid w:val="00776BFD"/>
    <w:rsid w:val="00777095"/>
    <w:rsid w:val="00782195"/>
    <w:rsid w:val="00785B7A"/>
    <w:rsid w:val="00786966"/>
    <w:rsid w:val="00786BD8"/>
    <w:rsid w:val="00786D9B"/>
    <w:rsid w:val="0078706A"/>
    <w:rsid w:val="007904EC"/>
    <w:rsid w:val="007909CC"/>
    <w:rsid w:val="0079184D"/>
    <w:rsid w:val="0079371D"/>
    <w:rsid w:val="00795270"/>
    <w:rsid w:val="00796F92"/>
    <w:rsid w:val="007A08A6"/>
    <w:rsid w:val="007A0BDC"/>
    <w:rsid w:val="007A0FC5"/>
    <w:rsid w:val="007A1141"/>
    <w:rsid w:val="007A18EE"/>
    <w:rsid w:val="007A2F72"/>
    <w:rsid w:val="007A3E7F"/>
    <w:rsid w:val="007A73E4"/>
    <w:rsid w:val="007A7D6F"/>
    <w:rsid w:val="007B0963"/>
    <w:rsid w:val="007B139C"/>
    <w:rsid w:val="007B37CF"/>
    <w:rsid w:val="007B3D11"/>
    <w:rsid w:val="007B4280"/>
    <w:rsid w:val="007B4664"/>
    <w:rsid w:val="007B538F"/>
    <w:rsid w:val="007B5AB5"/>
    <w:rsid w:val="007B5D78"/>
    <w:rsid w:val="007B6169"/>
    <w:rsid w:val="007C0423"/>
    <w:rsid w:val="007C16AC"/>
    <w:rsid w:val="007C3014"/>
    <w:rsid w:val="007C4956"/>
    <w:rsid w:val="007C5C34"/>
    <w:rsid w:val="007C608C"/>
    <w:rsid w:val="007C64C5"/>
    <w:rsid w:val="007C6F63"/>
    <w:rsid w:val="007C7964"/>
    <w:rsid w:val="007D4275"/>
    <w:rsid w:val="007D4FCA"/>
    <w:rsid w:val="007D5AA3"/>
    <w:rsid w:val="007D6BC2"/>
    <w:rsid w:val="007E1481"/>
    <w:rsid w:val="007E2598"/>
    <w:rsid w:val="007E27D7"/>
    <w:rsid w:val="007E2BCF"/>
    <w:rsid w:val="007E4401"/>
    <w:rsid w:val="007E447A"/>
    <w:rsid w:val="007E4EE3"/>
    <w:rsid w:val="007E5580"/>
    <w:rsid w:val="007E5617"/>
    <w:rsid w:val="007E6D20"/>
    <w:rsid w:val="007E6E72"/>
    <w:rsid w:val="007E702E"/>
    <w:rsid w:val="007E7652"/>
    <w:rsid w:val="007F1560"/>
    <w:rsid w:val="007F1912"/>
    <w:rsid w:val="007F1AFF"/>
    <w:rsid w:val="007F22CB"/>
    <w:rsid w:val="007F35A0"/>
    <w:rsid w:val="007F3998"/>
    <w:rsid w:val="007F5814"/>
    <w:rsid w:val="007F5DF8"/>
    <w:rsid w:val="00800542"/>
    <w:rsid w:val="00801E65"/>
    <w:rsid w:val="00802445"/>
    <w:rsid w:val="0080305D"/>
    <w:rsid w:val="00805187"/>
    <w:rsid w:val="00806A73"/>
    <w:rsid w:val="00806DB5"/>
    <w:rsid w:val="00806E5B"/>
    <w:rsid w:val="00811426"/>
    <w:rsid w:val="00811801"/>
    <w:rsid w:val="00811BF6"/>
    <w:rsid w:val="008131F1"/>
    <w:rsid w:val="00815715"/>
    <w:rsid w:val="0081675F"/>
    <w:rsid w:val="00817146"/>
    <w:rsid w:val="008209E5"/>
    <w:rsid w:val="00821C7E"/>
    <w:rsid w:val="00822B17"/>
    <w:rsid w:val="00822F1D"/>
    <w:rsid w:val="00823422"/>
    <w:rsid w:val="008253FB"/>
    <w:rsid w:val="00826A02"/>
    <w:rsid w:val="00826A19"/>
    <w:rsid w:val="008304BE"/>
    <w:rsid w:val="0083106B"/>
    <w:rsid w:val="00831435"/>
    <w:rsid w:val="00831C45"/>
    <w:rsid w:val="00832440"/>
    <w:rsid w:val="00833B9F"/>
    <w:rsid w:val="008347A8"/>
    <w:rsid w:val="00835231"/>
    <w:rsid w:val="0083735B"/>
    <w:rsid w:val="0083797F"/>
    <w:rsid w:val="00843612"/>
    <w:rsid w:val="00845E78"/>
    <w:rsid w:val="00847CC9"/>
    <w:rsid w:val="008504B7"/>
    <w:rsid w:val="008527D3"/>
    <w:rsid w:val="00853315"/>
    <w:rsid w:val="008540B2"/>
    <w:rsid w:val="00854122"/>
    <w:rsid w:val="00856C58"/>
    <w:rsid w:val="008600E8"/>
    <w:rsid w:val="0086170F"/>
    <w:rsid w:val="0086216C"/>
    <w:rsid w:val="00863DD9"/>
    <w:rsid w:val="008648E7"/>
    <w:rsid w:val="00864BF3"/>
    <w:rsid w:val="00865452"/>
    <w:rsid w:val="00865BA3"/>
    <w:rsid w:val="00866797"/>
    <w:rsid w:val="0086701A"/>
    <w:rsid w:val="008672C6"/>
    <w:rsid w:val="00872041"/>
    <w:rsid w:val="00872C6C"/>
    <w:rsid w:val="008730FF"/>
    <w:rsid w:val="00873F7B"/>
    <w:rsid w:val="008745A4"/>
    <w:rsid w:val="008746DD"/>
    <w:rsid w:val="008747F5"/>
    <w:rsid w:val="00876845"/>
    <w:rsid w:val="008771C6"/>
    <w:rsid w:val="0088026A"/>
    <w:rsid w:val="00883CFF"/>
    <w:rsid w:val="0088496F"/>
    <w:rsid w:val="0088516F"/>
    <w:rsid w:val="0088530B"/>
    <w:rsid w:val="00890519"/>
    <w:rsid w:val="008910AE"/>
    <w:rsid w:val="00891CB8"/>
    <w:rsid w:val="00892B84"/>
    <w:rsid w:val="00893037"/>
    <w:rsid w:val="00893E15"/>
    <w:rsid w:val="00893F62"/>
    <w:rsid w:val="008946E0"/>
    <w:rsid w:val="008A297F"/>
    <w:rsid w:val="008A2C13"/>
    <w:rsid w:val="008A3BEE"/>
    <w:rsid w:val="008A7017"/>
    <w:rsid w:val="008B3B29"/>
    <w:rsid w:val="008C0AB4"/>
    <w:rsid w:val="008C3F59"/>
    <w:rsid w:val="008C6B2B"/>
    <w:rsid w:val="008D1418"/>
    <w:rsid w:val="008D3554"/>
    <w:rsid w:val="008D59FE"/>
    <w:rsid w:val="008D613F"/>
    <w:rsid w:val="008D7121"/>
    <w:rsid w:val="008E03BE"/>
    <w:rsid w:val="008E0D4F"/>
    <w:rsid w:val="008E173B"/>
    <w:rsid w:val="008E2682"/>
    <w:rsid w:val="008E2CE7"/>
    <w:rsid w:val="008E3CBC"/>
    <w:rsid w:val="008E3FE2"/>
    <w:rsid w:val="008E4AB4"/>
    <w:rsid w:val="008E6064"/>
    <w:rsid w:val="008E70C8"/>
    <w:rsid w:val="008E7592"/>
    <w:rsid w:val="008F12F4"/>
    <w:rsid w:val="008F2326"/>
    <w:rsid w:val="008F5BA4"/>
    <w:rsid w:val="008F5F75"/>
    <w:rsid w:val="008F67A5"/>
    <w:rsid w:val="008F7C4E"/>
    <w:rsid w:val="009006C3"/>
    <w:rsid w:val="00900946"/>
    <w:rsid w:val="009017B7"/>
    <w:rsid w:val="0090314E"/>
    <w:rsid w:val="00904FFF"/>
    <w:rsid w:val="00906E45"/>
    <w:rsid w:val="009106B1"/>
    <w:rsid w:val="00911B03"/>
    <w:rsid w:val="00914306"/>
    <w:rsid w:val="0091517B"/>
    <w:rsid w:val="0091641F"/>
    <w:rsid w:val="0092155E"/>
    <w:rsid w:val="009221A1"/>
    <w:rsid w:val="00922AF7"/>
    <w:rsid w:val="009251B2"/>
    <w:rsid w:val="00926798"/>
    <w:rsid w:val="00926CBE"/>
    <w:rsid w:val="00926F94"/>
    <w:rsid w:val="0093130C"/>
    <w:rsid w:val="009323BB"/>
    <w:rsid w:val="00932465"/>
    <w:rsid w:val="00932F4E"/>
    <w:rsid w:val="00934768"/>
    <w:rsid w:val="00935BC9"/>
    <w:rsid w:val="00940DB2"/>
    <w:rsid w:val="00941011"/>
    <w:rsid w:val="00944E3D"/>
    <w:rsid w:val="00946510"/>
    <w:rsid w:val="0094691B"/>
    <w:rsid w:val="009469DA"/>
    <w:rsid w:val="00947AEF"/>
    <w:rsid w:val="00947CFD"/>
    <w:rsid w:val="0095034E"/>
    <w:rsid w:val="009517D9"/>
    <w:rsid w:val="009518AF"/>
    <w:rsid w:val="009533E4"/>
    <w:rsid w:val="009548F9"/>
    <w:rsid w:val="0095591C"/>
    <w:rsid w:val="00955A5A"/>
    <w:rsid w:val="00957B32"/>
    <w:rsid w:val="0096298C"/>
    <w:rsid w:val="00962F73"/>
    <w:rsid w:val="00963894"/>
    <w:rsid w:val="00963E98"/>
    <w:rsid w:val="00963F57"/>
    <w:rsid w:val="0096498E"/>
    <w:rsid w:val="00965992"/>
    <w:rsid w:val="00965D5B"/>
    <w:rsid w:val="00966BF9"/>
    <w:rsid w:val="00971D19"/>
    <w:rsid w:val="00973262"/>
    <w:rsid w:val="00975794"/>
    <w:rsid w:val="00975E1B"/>
    <w:rsid w:val="00983B0C"/>
    <w:rsid w:val="00983F81"/>
    <w:rsid w:val="009845AF"/>
    <w:rsid w:val="009857CB"/>
    <w:rsid w:val="009903AD"/>
    <w:rsid w:val="00990608"/>
    <w:rsid w:val="00991E0C"/>
    <w:rsid w:val="00991E8B"/>
    <w:rsid w:val="00992D52"/>
    <w:rsid w:val="009936A2"/>
    <w:rsid w:val="00994977"/>
    <w:rsid w:val="00996089"/>
    <w:rsid w:val="009A28C8"/>
    <w:rsid w:val="009A5F95"/>
    <w:rsid w:val="009A65F1"/>
    <w:rsid w:val="009A6D6F"/>
    <w:rsid w:val="009B0789"/>
    <w:rsid w:val="009B1283"/>
    <w:rsid w:val="009B18C7"/>
    <w:rsid w:val="009B2E89"/>
    <w:rsid w:val="009B69A8"/>
    <w:rsid w:val="009B6BEF"/>
    <w:rsid w:val="009B6FAA"/>
    <w:rsid w:val="009B7A99"/>
    <w:rsid w:val="009B7F80"/>
    <w:rsid w:val="009C130A"/>
    <w:rsid w:val="009C15D8"/>
    <w:rsid w:val="009C21FA"/>
    <w:rsid w:val="009C2F5C"/>
    <w:rsid w:val="009C32EE"/>
    <w:rsid w:val="009C3498"/>
    <w:rsid w:val="009C3AEB"/>
    <w:rsid w:val="009D0CF7"/>
    <w:rsid w:val="009D1054"/>
    <w:rsid w:val="009D2295"/>
    <w:rsid w:val="009D2670"/>
    <w:rsid w:val="009D2DE0"/>
    <w:rsid w:val="009D2E76"/>
    <w:rsid w:val="009D3A8F"/>
    <w:rsid w:val="009D44C1"/>
    <w:rsid w:val="009D4608"/>
    <w:rsid w:val="009D4AF8"/>
    <w:rsid w:val="009D513F"/>
    <w:rsid w:val="009D55F9"/>
    <w:rsid w:val="009D61B2"/>
    <w:rsid w:val="009D6EB3"/>
    <w:rsid w:val="009E2CBA"/>
    <w:rsid w:val="009E2F84"/>
    <w:rsid w:val="009E67B3"/>
    <w:rsid w:val="009E6F09"/>
    <w:rsid w:val="009E7970"/>
    <w:rsid w:val="009F122E"/>
    <w:rsid w:val="009F2844"/>
    <w:rsid w:val="009F2AFD"/>
    <w:rsid w:val="009F4B77"/>
    <w:rsid w:val="009F6D56"/>
    <w:rsid w:val="00A01D70"/>
    <w:rsid w:val="00A01DFC"/>
    <w:rsid w:val="00A03916"/>
    <w:rsid w:val="00A040FE"/>
    <w:rsid w:val="00A044C4"/>
    <w:rsid w:val="00A06085"/>
    <w:rsid w:val="00A070A6"/>
    <w:rsid w:val="00A072B2"/>
    <w:rsid w:val="00A072F3"/>
    <w:rsid w:val="00A105AA"/>
    <w:rsid w:val="00A10FBA"/>
    <w:rsid w:val="00A1127F"/>
    <w:rsid w:val="00A1166F"/>
    <w:rsid w:val="00A116D9"/>
    <w:rsid w:val="00A1267E"/>
    <w:rsid w:val="00A12CCD"/>
    <w:rsid w:val="00A13F8F"/>
    <w:rsid w:val="00A1413D"/>
    <w:rsid w:val="00A16EDE"/>
    <w:rsid w:val="00A17E58"/>
    <w:rsid w:val="00A2255A"/>
    <w:rsid w:val="00A241F2"/>
    <w:rsid w:val="00A24F9E"/>
    <w:rsid w:val="00A2501E"/>
    <w:rsid w:val="00A2525E"/>
    <w:rsid w:val="00A30A4E"/>
    <w:rsid w:val="00A31BA8"/>
    <w:rsid w:val="00A366E2"/>
    <w:rsid w:val="00A418D1"/>
    <w:rsid w:val="00A42981"/>
    <w:rsid w:val="00A42EA1"/>
    <w:rsid w:val="00A435B7"/>
    <w:rsid w:val="00A46148"/>
    <w:rsid w:val="00A46763"/>
    <w:rsid w:val="00A47EA9"/>
    <w:rsid w:val="00A51883"/>
    <w:rsid w:val="00A51F57"/>
    <w:rsid w:val="00A54266"/>
    <w:rsid w:val="00A54FAF"/>
    <w:rsid w:val="00A55C03"/>
    <w:rsid w:val="00A56F6A"/>
    <w:rsid w:val="00A5717A"/>
    <w:rsid w:val="00A603ED"/>
    <w:rsid w:val="00A60CFC"/>
    <w:rsid w:val="00A636CB"/>
    <w:rsid w:val="00A63DCF"/>
    <w:rsid w:val="00A65687"/>
    <w:rsid w:val="00A659E8"/>
    <w:rsid w:val="00A67335"/>
    <w:rsid w:val="00A70D16"/>
    <w:rsid w:val="00A720AA"/>
    <w:rsid w:val="00A73AC5"/>
    <w:rsid w:val="00A7623F"/>
    <w:rsid w:val="00A769BF"/>
    <w:rsid w:val="00A76A30"/>
    <w:rsid w:val="00A76D3C"/>
    <w:rsid w:val="00A7757B"/>
    <w:rsid w:val="00A7780D"/>
    <w:rsid w:val="00A816E2"/>
    <w:rsid w:val="00A8204A"/>
    <w:rsid w:val="00A823E7"/>
    <w:rsid w:val="00A87F43"/>
    <w:rsid w:val="00A901C9"/>
    <w:rsid w:val="00A92229"/>
    <w:rsid w:val="00A9439B"/>
    <w:rsid w:val="00A96CCA"/>
    <w:rsid w:val="00A973D4"/>
    <w:rsid w:val="00A97C51"/>
    <w:rsid w:val="00AA0CF5"/>
    <w:rsid w:val="00AA20FB"/>
    <w:rsid w:val="00AA351B"/>
    <w:rsid w:val="00AA3B47"/>
    <w:rsid w:val="00AA686B"/>
    <w:rsid w:val="00AA7A59"/>
    <w:rsid w:val="00AB0EBA"/>
    <w:rsid w:val="00AB0F87"/>
    <w:rsid w:val="00AB18A9"/>
    <w:rsid w:val="00AB29DF"/>
    <w:rsid w:val="00AB3BCC"/>
    <w:rsid w:val="00AB5127"/>
    <w:rsid w:val="00AB78F8"/>
    <w:rsid w:val="00AC0044"/>
    <w:rsid w:val="00AC08BB"/>
    <w:rsid w:val="00AC1066"/>
    <w:rsid w:val="00AC3935"/>
    <w:rsid w:val="00AC3B44"/>
    <w:rsid w:val="00AC58A2"/>
    <w:rsid w:val="00AD1C07"/>
    <w:rsid w:val="00AD2047"/>
    <w:rsid w:val="00AD2536"/>
    <w:rsid w:val="00AD2630"/>
    <w:rsid w:val="00AD3425"/>
    <w:rsid w:val="00AD63FF"/>
    <w:rsid w:val="00AD76B8"/>
    <w:rsid w:val="00AE17F9"/>
    <w:rsid w:val="00AE3890"/>
    <w:rsid w:val="00AE46FA"/>
    <w:rsid w:val="00AE4E76"/>
    <w:rsid w:val="00AE6BC0"/>
    <w:rsid w:val="00AF043C"/>
    <w:rsid w:val="00AF0799"/>
    <w:rsid w:val="00AF3B3E"/>
    <w:rsid w:val="00AF44FE"/>
    <w:rsid w:val="00AF5038"/>
    <w:rsid w:val="00AF6576"/>
    <w:rsid w:val="00AF6F90"/>
    <w:rsid w:val="00AF7154"/>
    <w:rsid w:val="00B00492"/>
    <w:rsid w:val="00B0099A"/>
    <w:rsid w:val="00B01805"/>
    <w:rsid w:val="00B03335"/>
    <w:rsid w:val="00B04AA7"/>
    <w:rsid w:val="00B062E3"/>
    <w:rsid w:val="00B10895"/>
    <w:rsid w:val="00B118A8"/>
    <w:rsid w:val="00B11C77"/>
    <w:rsid w:val="00B123BA"/>
    <w:rsid w:val="00B12B18"/>
    <w:rsid w:val="00B15072"/>
    <w:rsid w:val="00B17C29"/>
    <w:rsid w:val="00B20114"/>
    <w:rsid w:val="00B203BC"/>
    <w:rsid w:val="00B2171D"/>
    <w:rsid w:val="00B21FA3"/>
    <w:rsid w:val="00B22530"/>
    <w:rsid w:val="00B258C0"/>
    <w:rsid w:val="00B26F7E"/>
    <w:rsid w:val="00B27A69"/>
    <w:rsid w:val="00B3366C"/>
    <w:rsid w:val="00B33FFD"/>
    <w:rsid w:val="00B35661"/>
    <w:rsid w:val="00B376E5"/>
    <w:rsid w:val="00B4021D"/>
    <w:rsid w:val="00B40882"/>
    <w:rsid w:val="00B4192C"/>
    <w:rsid w:val="00B419BC"/>
    <w:rsid w:val="00B41D1F"/>
    <w:rsid w:val="00B42C22"/>
    <w:rsid w:val="00B42F82"/>
    <w:rsid w:val="00B467D2"/>
    <w:rsid w:val="00B51820"/>
    <w:rsid w:val="00B548D5"/>
    <w:rsid w:val="00B5723F"/>
    <w:rsid w:val="00B57B33"/>
    <w:rsid w:val="00B61E72"/>
    <w:rsid w:val="00B62539"/>
    <w:rsid w:val="00B651CE"/>
    <w:rsid w:val="00B65B4A"/>
    <w:rsid w:val="00B66F94"/>
    <w:rsid w:val="00B71537"/>
    <w:rsid w:val="00B7290E"/>
    <w:rsid w:val="00B74BE8"/>
    <w:rsid w:val="00B75C90"/>
    <w:rsid w:val="00B7617C"/>
    <w:rsid w:val="00B76769"/>
    <w:rsid w:val="00B7779A"/>
    <w:rsid w:val="00B8036D"/>
    <w:rsid w:val="00B80B72"/>
    <w:rsid w:val="00B81292"/>
    <w:rsid w:val="00B83F5A"/>
    <w:rsid w:val="00B84FE4"/>
    <w:rsid w:val="00B85DA2"/>
    <w:rsid w:val="00B87F83"/>
    <w:rsid w:val="00B908ED"/>
    <w:rsid w:val="00B90BC3"/>
    <w:rsid w:val="00B919A3"/>
    <w:rsid w:val="00B93D64"/>
    <w:rsid w:val="00B95763"/>
    <w:rsid w:val="00B96732"/>
    <w:rsid w:val="00BA1C64"/>
    <w:rsid w:val="00BA2BDB"/>
    <w:rsid w:val="00BA4F1D"/>
    <w:rsid w:val="00BA629A"/>
    <w:rsid w:val="00BA6436"/>
    <w:rsid w:val="00BB01BC"/>
    <w:rsid w:val="00BB0407"/>
    <w:rsid w:val="00BB050F"/>
    <w:rsid w:val="00BB1712"/>
    <w:rsid w:val="00BB20FD"/>
    <w:rsid w:val="00BB3C46"/>
    <w:rsid w:val="00BB6FC1"/>
    <w:rsid w:val="00BC195A"/>
    <w:rsid w:val="00BC348D"/>
    <w:rsid w:val="00BC386E"/>
    <w:rsid w:val="00BC39A4"/>
    <w:rsid w:val="00BC3A47"/>
    <w:rsid w:val="00BC3AEB"/>
    <w:rsid w:val="00BC3C33"/>
    <w:rsid w:val="00BC645A"/>
    <w:rsid w:val="00BC67A6"/>
    <w:rsid w:val="00BC7B16"/>
    <w:rsid w:val="00BD0012"/>
    <w:rsid w:val="00BD0611"/>
    <w:rsid w:val="00BD0F8F"/>
    <w:rsid w:val="00BD1F80"/>
    <w:rsid w:val="00BD44FB"/>
    <w:rsid w:val="00BD5FC9"/>
    <w:rsid w:val="00BE10E1"/>
    <w:rsid w:val="00BE2EC5"/>
    <w:rsid w:val="00BE45CF"/>
    <w:rsid w:val="00BE4801"/>
    <w:rsid w:val="00BE7279"/>
    <w:rsid w:val="00BE7E39"/>
    <w:rsid w:val="00BF0042"/>
    <w:rsid w:val="00BF0232"/>
    <w:rsid w:val="00BF0899"/>
    <w:rsid w:val="00BF1694"/>
    <w:rsid w:val="00BF2385"/>
    <w:rsid w:val="00BF2D64"/>
    <w:rsid w:val="00BF4535"/>
    <w:rsid w:val="00BF4A47"/>
    <w:rsid w:val="00BF74B7"/>
    <w:rsid w:val="00BF7870"/>
    <w:rsid w:val="00C03838"/>
    <w:rsid w:val="00C059B2"/>
    <w:rsid w:val="00C0682F"/>
    <w:rsid w:val="00C07EC0"/>
    <w:rsid w:val="00C10C0A"/>
    <w:rsid w:val="00C12A87"/>
    <w:rsid w:val="00C12B65"/>
    <w:rsid w:val="00C144FE"/>
    <w:rsid w:val="00C14F04"/>
    <w:rsid w:val="00C14F07"/>
    <w:rsid w:val="00C1624A"/>
    <w:rsid w:val="00C172BE"/>
    <w:rsid w:val="00C17AA3"/>
    <w:rsid w:val="00C201E8"/>
    <w:rsid w:val="00C21AE0"/>
    <w:rsid w:val="00C22BB4"/>
    <w:rsid w:val="00C22E5E"/>
    <w:rsid w:val="00C25121"/>
    <w:rsid w:val="00C2546A"/>
    <w:rsid w:val="00C254FD"/>
    <w:rsid w:val="00C25F5D"/>
    <w:rsid w:val="00C25FE6"/>
    <w:rsid w:val="00C260B8"/>
    <w:rsid w:val="00C2710D"/>
    <w:rsid w:val="00C313D8"/>
    <w:rsid w:val="00C31B92"/>
    <w:rsid w:val="00C36A11"/>
    <w:rsid w:val="00C37A80"/>
    <w:rsid w:val="00C412CA"/>
    <w:rsid w:val="00C414DC"/>
    <w:rsid w:val="00C41AB1"/>
    <w:rsid w:val="00C422B7"/>
    <w:rsid w:val="00C45008"/>
    <w:rsid w:val="00C465B1"/>
    <w:rsid w:val="00C467FD"/>
    <w:rsid w:val="00C475E2"/>
    <w:rsid w:val="00C54707"/>
    <w:rsid w:val="00C5555B"/>
    <w:rsid w:val="00C576B8"/>
    <w:rsid w:val="00C626EF"/>
    <w:rsid w:val="00C6295D"/>
    <w:rsid w:val="00C63A87"/>
    <w:rsid w:val="00C6420D"/>
    <w:rsid w:val="00C66345"/>
    <w:rsid w:val="00C66C6B"/>
    <w:rsid w:val="00C67098"/>
    <w:rsid w:val="00C67536"/>
    <w:rsid w:val="00C70190"/>
    <w:rsid w:val="00C70322"/>
    <w:rsid w:val="00C70921"/>
    <w:rsid w:val="00C71471"/>
    <w:rsid w:val="00C7154E"/>
    <w:rsid w:val="00C726C4"/>
    <w:rsid w:val="00C74494"/>
    <w:rsid w:val="00C75F3B"/>
    <w:rsid w:val="00C76C1E"/>
    <w:rsid w:val="00C807F7"/>
    <w:rsid w:val="00C8328F"/>
    <w:rsid w:val="00C83E0E"/>
    <w:rsid w:val="00C8523A"/>
    <w:rsid w:val="00C859A5"/>
    <w:rsid w:val="00C85F99"/>
    <w:rsid w:val="00C865A1"/>
    <w:rsid w:val="00C86C89"/>
    <w:rsid w:val="00C90F5C"/>
    <w:rsid w:val="00C91B0F"/>
    <w:rsid w:val="00C93EBB"/>
    <w:rsid w:val="00C96229"/>
    <w:rsid w:val="00C96AB0"/>
    <w:rsid w:val="00C97749"/>
    <w:rsid w:val="00CA107C"/>
    <w:rsid w:val="00CA3703"/>
    <w:rsid w:val="00CA4BA2"/>
    <w:rsid w:val="00CA4DC3"/>
    <w:rsid w:val="00CA54CE"/>
    <w:rsid w:val="00CB1B55"/>
    <w:rsid w:val="00CB2448"/>
    <w:rsid w:val="00CB2703"/>
    <w:rsid w:val="00CB2EF0"/>
    <w:rsid w:val="00CB53D7"/>
    <w:rsid w:val="00CC0865"/>
    <w:rsid w:val="00CC0C83"/>
    <w:rsid w:val="00CC0CBC"/>
    <w:rsid w:val="00CC2C1A"/>
    <w:rsid w:val="00CC4939"/>
    <w:rsid w:val="00CC4A55"/>
    <w:rsid w:val="00CC62E4"/>
    <w:rsid w:val="00CD14AE"/>
    <w:rsid w:val="00CD1D73"/>
    <w:rsid w:val="00CD1EFA"/>
    <w:rsid w:val="00CD2504"/>
    <w:rsid w:val="00CD327C"/>
    <w:rsid w:val="00CD3CDD"/>
    <w:rsid w:val="00CD795A"/>
    <w:rsid w:val="00CE1425"/>
    <w:rsid w:val="00CE2B4D"/>
    <w:rsid w:val="00CE60AC"/>
    <w:rsid w:val="00CF14B2"/>
    <w:rsid w:val="00CF1EFD"/>
    <w:rsid w:val="00CF200C"/>
    <w:rsid w:val="00CF24BF"/>
    <w:rsid w:val="00CF25E6"/>
    <w:rsid w:val="00CF36B4"/>
    <w:rsid w:val="00CF38A7"/>
    <w:rsid w:val="00CF3D3E"/>
    <w:rsid w:val="00CF40F3"/>
    <w:rsid w:val="00CF4BC2"/>
    <w:rsid w:val="00CF66D2"/>
    <w:rsid w:val="00CF6DF4"/>
    <w:rsid w:val="00CF708D"/>
    <w:rsid w:val="00CF7C57"/>
    <w:rsid w:val="00D00890"/>
    <w:rsid w:val="00D02270"/>
    <w:rsid w:val="00D03007"/>
    <w:rsid w:val="00D03161"/>
    <w:rsid w:val="00D0320F"/>
    <w:rsid w:val="00D040AC"/>
    <w:rsid w:val="00D05298"/>
    <w:rsid w:val="00D05A72"/>
    <w:rsid w:val="00D05D4D"/>
    <w:rsid w:val="00D07576"/>
    <w:rsid w:val="00D10064"/>
    <w:rsid w:val="00D108DE"/>
    <w:rsid w:val="00D11814"/>
    <w:rsid w:val="00D120E4"/>
    <w:rsid w:val="00D128A1"/>
    <w:rsid w:val="00D13EA7"/>
    <w:rsid w:val="00D22691"/>
    <w:rsid w:val="00D22E0A"/>
    <w:rsid w:val="00D2400C"/>
    <w:rsid w:val="00D243A6"/>
    <w:rsid w:val="00D30AAB"/>
    <w:rsid w:val="00D30F95"/>
    <w:rsid w:val="00D31128"/>
    <w:rsid w:val="00D31B5F"/>
    <w:rsid w:val="00D321B6"/>
    <w:rsid w:val="00D3250D"/>
    <w:rsid w:val="00D32D9F"/>
    <w:rsid w:val="00D33156"/>
    <w:rsid w:val="00D401B1"/>
    <w:rsid w:val="00D40BB2"/>
    <w:rsid w:val="00D425C0"/>
    <w:rsid w:val="00D4277B"/>
    <w:rsid w:val="00D44847"/>
    <w:rsid w:val="00D5103F"/>
    <w:rsid w:val="00D51850"/>
    <w:rsid w:val="00D51AC2"/>
    <w:rsid w:val="00D51C7F"/>
    <w:rsid w:val="00D52BD4"/>
    <w:rsid w:val="00D53155"/>
    <w:rsid w:val="00D54A14"/>
    <w:rsid w:val="00D56657"/>
    <w:rsid w:val="00D572B3"/>
    <w:rsid w:val="00D61130"/>
    <w:rsid w:val="00D63553"/>
    <w:rsid w:val="00D6419A"/>
    <w:rsid w:val="00D6477A"/>
    <w:rsid w:val="00D64E1D"/>
    <w:rsid w:val="00D6767D"/>
    <w:rsid w:val="00D67DF4"/>
    <w:rsid w:val="00D67E56"/>
    <w:rsid w:val="00D74503"/>
    <w:rsid w:val="00D74C01"/>
    <w:rsid w:val="00D8147B"/>
    <w:rsid w:val="00D8270E"/>
    <w:rsid w:val="00D83FB6"/>
    <w:rsid w:val="00D840D7"/>
    <w:rsid w:val="00D8588B"/>
    <w:rsid w:val="00D86BCA"/>
    <w:rsid w:val="00D86CA8"/>
    <w:rsid w:val="00D876A1"/>
    <w:rsid w:val="00D9030C"/>
    <w:rsid w:val="00D93426"/>
    <w:rsid w:val="00D937EE"/>
    <w:rsid w:val="00D93F79"/>
    <w:rsid w:val="00D95212"/>
    <w:rsid w:val="00D956A3"/>
    <w:rsid w:val="00DA003E"/>
    <w:rsid w:val="00DA1E8C"/>
    <w:rsid w:val="00DA37E7"/>
    <w:rsid w:val="00DA3C48"/>
    <w:rsid w:val="00DA3C5D"/>
    <w:rsid w:val="00DA63FC"/>
    <w:rsid w:val="00DA75BF"/>
    <w:rsid w:val="00DB03B9"/>
    <w:rsid w:val="00DB230D"/>
    <w:rsid w:val="00DB23D0"/>
    <w:rsid w:val="00DB2B08"/>
    <w:rsid w:val="00DB2C93"/>
    <w:rsid w:val="00DB31C7"/>
    <w:rsid w:val="00DB4BF4"/>
    <w:rsid w:val="00DB55CA"/>
    <w:rsid w:val="00DC0F33"/>
    <w:rsid w:val="00DC1706"/>
    <w:rsid w:val="00DC267F"/>
    <w:rsid w:val="00DC40BD"/>
    <w:rsid w:val="00DC4E3A"/>
    <w:rsid w:val="00DC74EA"/>
    <w:rsid w:val="00DD3024"/>
    <w:rsid w:val="00DD32B8"/>
    <w:rsid w:val="00DD3D3A"/>
    <w:rsid w:val="00DD47F8"/>
    <w:rsid w:val="00DD5CA4"/>
    <w:rsid w:val="00DD68CE"/>
    <w:rsid w:val="00DE018C"/>
    <w:rsid w:val="00DE31E9"/>
    <w:rsid w:val="00DE3BA2"/>
    <w:rsid w:val="00DE3C78"/>
    <w:rsid w:val="00DE4ADF"/>
    <w:rsid w:val="00DE4C04"/>
    <w:rsid w:val="00DE66E5"/>
    <w:rsid w:val="00DF2005"/>
    <w:rsid w:val="00DF357D"/>
    <w:rsid w:val="00DF3AF5"/>
    <w:rsid w:val="00DF4A17"/>
    <w:rsid w:val="00DF4EDC"/>
    <w:rsid w:val="00DF5111"/>
    <w:rsid w:val="00DF544C"/>
    <w:rsid w:val="00DF7205"/>
    <w:rsid w:val="00E010DD"/>
    <w:rsid w:val="00E036F1"/>
    <w:rsid w:val="00E057A2"/>
    <w:rsid w:val="00E0598A"/>
    <w:rsid w:val="00E06ECC"/>
    <w:rsid w:val="00E10433"/>
    <w:rsid w:val="00E107B1"/>
    <w:rsid w:val="00E10802"/>
    <w:rsid w:val="00E10BA8"/>
    <w:rsid w:val="00E116A0"/>
    <w:rsid w:val="00E11ACD"/>
    <w:rsid w:val="00E15A19"/>
    <w:rsid w:val="00E17EC1"/>
    <w:rsid w:val="00E20083"/>
    <w:rsid w:val="00E2119D"/>
    <w:rsid w:val="00E21C45"/>
    <w:rsid w:val="00E22672"/>
    <w:rsid w:val="00E22E71"/>
    <w:rsid w:val="00E23064"/>
    <w:rsid w:val="00E267A2"/>
    <w:rsid w:val="00E26B56"/>
    <w:rsid w:val="00E271E4"/>
    <w:rsid w:val="00E316CB"/>
    <w:rsid w:val="00E32F24"/>
    <w:rsid w:val="00E331C1"/>
    <w:rsid w:val="00E351CE"/>
    <w:rsid w:val="00E3549A"/>
    <w:rsid w:val="00E35E21"/>
    <w:rsid w:val="00E378CC"/>
    <w:rsid w:val="00E40B46"/>
    <w:rsid w:val="00E41601"/>
    <w:rsid w:val="00E41AAB"/>
    <w:rsid w:val="00E41E60"/>
    <w:rsid w:val="00E42389"/>
    <w:rsid w:val="00E44605"/>
    <w:rsid w:val="00E45D74"/>
    <w:rsid w:val="00E47363"/>
    <w:rsid w:val="00E47FDC"/>
    <w:rsid w:val="00E5016A"/>
    <w:rsid w:val="00E517D3"/>
    <w:rsid w:val="00E519E7"/>
    <w:rsid w:val="00E5241F"/>
    <w:rsid w:val="00E52DC8"/>
    <w:rsid w:val="00E54246"/>
    <w:rsid w:val="00E576D5"/>
    <w:rsid w:val="00E618FF"/>
    <w:rsid w:val="00E63DA1"/>
    <w:rsid w:val="00E66C6C"/>
    <w:rsid w:val="00E6772C"/>
    <w:rsid w:val="00E7078A"/>
    <w:rsid w:val="00E70802"/>
    <w:rsid w:val="00E75B61"/>
    <w:rsid w:val="00E8387C"/>
    <w:rsid w:val="00E83CA4"/>
    <w:rsid w:val="00E84F4F"/>
    <w:rsid w:val="00E87480"/>
    <w:rsid w:val="00E930A3"/>
    <w:rsid w:val="00E93F59"/>
    <w:rsid w:val="00E962D2"/>
    <w:rsid w:val="00EA16EF"/>
    <w:rsid w:val="00EA30FF"/>
    <w:rsid w:val="00EA4C25"/>
    <w:rsid w:val="00EA50CD"/>
    <w:rsid w:val="00EA698A"/>
    <w:rsid w:val="00EA6F9C"/>
    <w:rsid w:val="00EA7748"/>
    <w:rsid w:val="00EB3BB2"/>
    <w:rsid w:val="00EB4C76"/>
    <w:rsid w:val="00EB534F"/>
    <w:rsid w:val="00EB7815"/>
    <w:rsid w:val="00EC0274"/>
    <w:rsid w:val="00EC060B"/>
    <w:rsid w:val="00EC21B5"/>
    <w:rsid w:val="00EC2642"/>
    <w:rsid w:val="00EC4C71"/>
    <w:rsid w:val="00EC54E3"/>
    <w:rsid w:val="00EC5575"/>
    <w:rsid w:val="00ED1F27"/>
    <w:rsid w:val="00ED27BE"/>
    <w:rsid w:val="00ED44BB"/>
    <w:rsid w:val="00ED6E75"/>
    <w:rsid w:val="00EE0B60"/>
    <w:rsid w:val="00EE2664"/>
    <w:rsid w:val="00EE34FD"/>
    <w:rsid w:val="00EE5182"/>
    <w:rsid w:val="00EE67BA"/>
    <w:rsid w:val="00EE7713"/>
    <w:rsid w:val="00EF0474"/>
    <w:rsid w:val="00EF0B85"/>
    <w:rsid w:val="00EF1A63"/>
    <w:rsid w:val="00EF4B09"/>
    <w:rsid w:val="00EF599A"/>
    <w:rsid w:val="00EF5AB5"/>
    <w:rsid w:val="00EF7739"/>
    <w:rsid w:val="00F01298"/>
    <w:rsid w:val="00F01D40"/>
    <w:rsid w:val="00F01FCA"/>
    <w:rsid w:val="00F04976"/>
    <w:rsid w:val="00F059D6"/>
    <w:rsid w:val="00F06E36"/>
    <w:rsid w:val="00F07212"/>
    <w:rsid w:val="00F10420"/>
    <w:rsid w:val="00F12D7E"/>
    <w:rsid w:val="00F14952"/>
    <w:rsid w:val="00F17260"/>
    <w:rsid w:val="00F178CA"/>
    <w:rsid w:val="00F219C6"/>
    <w:rsid w:val="00F2245C"/>
    <w:rsid w:val="00F2289B"/>
    <w:rsid w:val="00F22E0F"/>
    <w:rsid w:val="00F24B08"/>
    <w:rsid w:val="00F25FB1"/>
    <w:rsid w:val="00F26F5E"/>
    <w:rsid w:val="00F310CD"/>
    <w:rsid w:val="00F31D6D"/>
    <w:rsid w:val="00F32DC5"/>
    <w:rsid w:val="00F330C5"/>
    <w:rsid w:val="00F338FE"/>
    <w:rsid w:val="00F3427B"/>
    <w:rsid w:val="00F34648"/>
    <w:rsid w:val="00F3499D"/>
    <w:rsid w:val="00F361C4"/>
    <w:rsid w:val="00F37F0F"/>
    <w:rsid w:val="00F42551"/>
    <w:rsid w:val="00F43448"/>
    <w:rsid w:val="00F43769"/>
    <w:rsid w:val="00F44255"/>
    <w:rsid w:val="00F45172"/>
    <w:rsid w:val="00F47847"/>
    <w:rsid w:val="00F516C6"/>
    <w:rsid w:val="00F51901"/>
    <w:rsid w:val="00F51A2D"/>
    <w:rsid w:val="00F51B1A"/>
    <w:rsid w:val="00F51BF0"/>
    <w:rsid w:val="00F523D7"/>
    <w:rsid w:val="00F57918"/>
    <w:rsid w:val="00F57B5D"/>
    <w:rsid w:val="00F60359"/>
    <w:rsid w:val="00F61DEE"/>
    <w:rsid w:val="00F61E21"/>
    <w:rsid w:val="00F621A9"/>
    <w:rsid w:val="00F62B59"/>
    <w:rsid w:val="00F63CCD"/>
    <w:rsid w:val="00F6465F"/>
    <w:rsid w:val="00F653BD"/>
    <w:rsid w:val="00F6639E"/>
    <w:rsid w:val="00F66E96"/>
    <w:rsid w:val="00F706B2"/>
    <w:rsid w:val="00F7118C"/>
    <w:rsid w:val="00F72F7C"/>
    <w:rsid w:val="00F75093"/>
    <w:rsid w:val="00F7546F"/>
    <w:rsid w:val="00F7612C"/>
    <w:rsid w:val="00F761C6"/>
    <w:rsid w:val="00F76728"/>
    <w:rsid w:val="00F779FB"/>
    <w:rsid w:val="00F80BF7"/>
    <w:rsid w:val="00F815DC"/>
    <w:rsid w:val="00F8312F"/>
    <w:rsid w:val="00F83420"/>
    <w:rsid w:val="00F86A6D"/>
    <w:rsid w:val="00F90706"/>
    <w:rsid w:val="00F90D86"/>
    <w:rsid w:val="00F93040"/>
    <w:rsid w:val="00F930E6"/>
    <w:rsid w:val="00F9312E"/>
    <w:rsid w:val="00F94B11"/>
    <w:rsid w:val="00F95E1D"/>
    <w:rsid w:val="00F966C5"/>
    <w:rsid w:val="00F972B2"/>
    <w:rsid w:val="00F973F5"/>
    <w:rsid w:val="00F978DB"/>
    <w:rsid w:val="00F97CBB"/>
    <w:rsid w:val="00FA1012"/>
    <w:rsid w:val="00FA180F"/>
    <w:rsid w:val="00FA2244"/>
    <w:rsid w:val="00FA2784"/>
    <w:rsid w:val="00FA2B7C"/>
    <w:rsid w:val="00FA2E31"/>
    <w:rsid w:val="00FA3CCE"/>
    <w:rsid w:val="00FA4BC1"/>
    <w:rsid w:val="00FA6B1D"/>
    <w:rsid w:val="00FA74D5"/>
    <w:rsid w:val="00FA7BCF"/>
    <w:rsid w:val="00FB1452"/>
    <w:rsid w:val="00FB1F09"/>
    <w:rsid w:val="00FB2CC5"/>
    <w:rsid w:val="00FB58CB"/>
    <w:rsid w:val="00FB5C67"/>
    <w:rsid w:val="00FB77C6"/>
    <w:rsid w:val="00FB7D7C"/>
    <w:rsid w:val="00FC13BF"/>
    <w:rsid w:val="00FC248C"/>
    <w:rsid w:val="00FC2EBB"/>
    <w:rsid w:val="00FC32B9"/>
    <w:rsid w:val="00FC4954"/>
    <w:rsid w:val="00FC546C"/>
    <w:rsid w:val="00FC6EE0"/>
    <w:rsid w:val="00FD3263"/>
    <w:rsid w:val="00FD36B7"/>
    <w:rsid w:val="00FD3CEF"/>
    <w:rsid w:val="00FD4157"/>
    <w:rsid w:val="00FD44F2"/>
    <w:rsid w:val="00FD46CB"/>
    <w:rsid w:val="00FD5FBD"/>
    <w:rsid w:val="00FE2CFF"/>
    <w:rsid w:val="00FE357F"/>
    <w:rsid w:val="00FE3BBA"/>
    <w:rsid w:val="00FE3E63"/>
    <w:rsid w:val="00FE52F3"/>
    <w:rsid w:val="00FE5AD3"/>
    <w:rsid w:val="00FE6667"/>
    <w:rsid w:val="00FE6773"/>
    <w:rsid w:val="00FE7141"/>
    <w:rsid w:val="00FE7790"/>
    <w:rsid w:val="00FF01AC"/>
    <w:rsid w:val="00FF04CA"/>
    <w:rsid w:val="00FF48D6"/>
    <w:rsid w:val="00FF513E"/>
    <w:rsid w:val="00FF6050"/>
    <w:rsid w:val="00FF64E3"/>
    <w:rsid w:val="00FF773F"/>
    <w:rsid w:val="00FF7D4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0FC01F7-A1A6-45CE-9C92-4126639D4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6778"/>
  </w:style>
  <w:style w:type="paragraph" w:styleId="Heading2">
    <w:name w:val="heading 2"/>
    <w:basedOn w:val="Normal"/>
    <w:next w:val="Normal"/>
    <w:link w:val="Heading2Char"/>
    <w:uiPriority w:val="9"/>
    <w:semiHidden/>
    <w:unhideWhenUsed/>
    <w:qFormat/>
    <w:rsid w:val="00AC106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 Char1,Char1, Char11 Char, Char11,Footnote Text Char Char,Fußnote,single space,FOOTNOTES,fn,Podrozdział,fn Char Char Char,fn Char Char,fn Char,Fußnote Char Char Char,Fußnote Char,Fußnote Char Char Char Char,stile 1,Footnote1,ft"/>
    <w:basedOn w:val="Normal"/>
    <w:link w:val="FootnoteTextChar"/>
    <w:uiPriority w:val="99"/>
    <w:qFormat/>
    <w:rsid w:val="00AC1066"/>
    <w:pPr>
      <w:suppressAutoHyphens/>
      <w:spacing w:after="120" w:line="276" w:lineRule="auto"/>
      <w:jc w:val="both"/>
    </w:pPr>
    <w:rPr>
      <w:rFonts w:ascii="Times New Roman" w:eastAsia="SimSun" w:hAnsi="Times New Roman" w:cs="Times New Roman"/>
      <w:sz w:val="20"/>
      <w:szCs w:val="20"/>
      <w:lang w:val="en-US" w:eastAsia="zh-CN"/>
    </w:rPr>
  </w:style>
  <w:style w:type="character" w:customStyle="1" w:styleId="FootnoteTextChar">
    <w:name w:val="Footnote Text Char"/>
    <w:aliases w:val=" Char1 Char,Char1 Char, Char11 Char Char, Char11 Char1,Footnote Text Char Char Char,Fußnote Char1,single space Char,FOOTNOTES Char,fn Char1,Podrozdział Char,fn Char Char Char Char,fn Char Char Char1,fn Char Char1,Fußnote Char Char"/>
    <w:basedOn w:val="DefaultParagraphFont"/>
    <w:link w:val="FootnoteText"/>
    <w:uiPriority w:val="99"/>
    <w:rsid w:val="00AC1066"/>
    <w:rPr>
      <w:rFonts w:ascii="Times New Roman" w:eastAsia="SimSun" w:hAnsi="Times New Roman" w:cs="Times New Roman"/>
      <w:sz w:val="20"/>
      <w:szCs w:val="20"/>
      <w:lang w:val="en-US" w:eastAsia="zh-CN"/>
    </w:rPr>
  </w:style>
  <w:style w:type="character" w:styleId="FootnoteReference">
    <w:name w:val="footnote reference"/>
    <w:aliases w:val=" BVI fnr Caracter,BVI fnr Caracter,Footnote Caracter,Footnote symbol Caracter,Times 10 Point Caracter,Exposant 3 Point Caracter,SUPERS Caracter,-E Fußnotenzeichen Caracter,number Caracter,Footnote reference number Caracter"/>
    <w:link w:val="BVIfnr"/>
    <w:uiPriority w:val="99"/>
    <w:qFormat/>
    <w:rsid w:val="00AC1066"/>
    <w:rPr>
      <w:vertAlign w:val="superscript"/>
    </w:rPr>
  </w:style>
  <w:style w:type="paragraph" w:customStyle="1" w:styleId="DDCaption">
    <w:name w:val="DD Caption"/>
    <w:basedOn w:val="FootnoteText"/>
    <w:link w:val="DDCaptionChar"/>
    <w:qFormat/>
    <w:rsid w:val="00AC1066"/>
    <w:pPr>
      <w:spacing w:after="0"/>
    </w:pPr>
    <w:rPr>
      <w:rFonts w:ascii="Calibri" w:hAnsi="Calibri"/>
      <w:sz w:val="18"/>
      <w:szCs w:val="18"/>
    </w:rPr>
  </w:style>
  <w:style w:type="paragraph" w:customStyle="1" w:styleId="DDNormal">
    <w:name w:val="DD Normal"/>
    <w:basedOn w:val="Normal"/>
    <w:link w:val="DDNormalChar"/>
    <w:qFormat/>
    <w:rsid w:val="00AC1066"/>
    <w:pPr>
      <w:suppressAutoHyphens/>
      <w:spacing w:after="120" w:line="276" w:lineRule="auto"/>
      <w:jc w:val="both"/>
    </w:pPr>
    <w:rPr>
      <w:rFonts w:ascii="Calibri" w:eastAsia="Times New Roman" w:hAnsi="Calibri" w:cs="Times New Roman"/>
      <w:color w:val="000000"/>
      <w:lang w:val="en-US" w:eastAsia="ar-SA"/>
    </w:rPr>
  </w:style>
  <w:style w:type="character" w:customStyle="1" w:styleId="DDCaptionChar">
    <w:name w:val="DD Caption Char"/>
    <w:link w:val="DDCaption"/>
    <w:rsid w:val="00AC1066"/>
    <w:rPr>
      <w:rFonts w:ascii="Calibri" w:eastAsia="SimSun" w:hAnsi="Calibri" w:cs="Times New Roman"/>
      <w:sz w:val="18"/>
      <w:szCs w:val="18"/>
      <w:lang w:val="en-US" w:eastAsia="zh-CN"/>
    </w:rPr>
  </w:style>
  <w:style w:type="character" w:customStyle="1" w:styleId="DDNormalChar">
    <w:name w:val="DD Normal Char"/>
    <w:link w:val="DDNormal"/>
    <w:rsid w:val="00AC1066"/>
    <w:rPr>
      <w:rFonts w:ascii="Calibri" w:eastAsia="Times New Roman" w:hAnsi="Calibri" w:cs="Times New Roman"/>
      <w:color w:val="000000"/>
      <w:lang w:val="en-US" w:eastAsia="ar-SA"/>
    </w:rPr>
  </w:style>
  <w:style w:type="paragraph" w:customStyle="1" w:styleId="DDsubSect">
    <w:name w:val="DDsubSect"/>
    <w:basedOn w:val="Normal"/>
    <w:link w:val="DDsubSectChar"/>
    <w:autoRedefine/>
    <w:qFormat/>
    <w:rsid w:val="00AC1066"/>
    <w:pPr>
      <w:spacing w:after="120" w:line="240" w:lineRule="auto"/>
      <w:jc w:val="both"/>
    </w:pPr>
    <w:rPr>
      <w:rFonts w:ascii="Calibri" w:eastAsia="Calibri" w:hAnsi="Calibri" w:cs="Times New Roman"/>
      <w:b/>
      <w:i/>
      <w:lang w:val="en-US" w:eastAsia="ar-SA"/>
    </w:rPr>
  </w:style>
  <w:style w:type="character" w:customStyle="1" w:styleId="DDsubSectChar">
    <w:name w:val="DDsubSect Char"/>
    <w:link w:val="DDsubSect"/>
    <w:rsid w:val="00AC1066"/>
    <w:rPr>
      <w:rFonts w:ascii="Calibri" w:eastAsia="Calibri" w:hAnsi="Calibri" w:cs="Times New Roman"/>
      <w:b/>
      <w:i/>
      <w:lang w:val="en-US" w:eastAsia="ar-SA"/>
    </w:rPr>
  </w:style>
  <w:style w:type="paragraph" w:customStyle="1" w:styleId="BVIfnr">
    <w:name w:val="BVI fnr"/>
    <w:aliases w:val="Footnote,Footnote symbol,Times 10 Point,Exposant 3 Point,SUPERS,-E Fußnotenzeichen,number,Footnote reference number,note TESI,EN Footnote Reference,Footnote Reference/,Footnote Reference Number,Footnote Refernec,ftref"/>
    <w:basedOn w:val="Normal"/>
    <w:link w:val="FootnoteReference"/>
    <w:rsid w:val="00AC1066"/>
    <w:pPr>
      <w:spacing w:after="120" w:line="240" w:lineRule="exact"/>
      <w:jc w:val="both"/>
    </w:pPr>
    <w:rPr>
      <w:vertAlign w:val="superscript"/>
    </w:rPr>
  </w:style>
  <w:style w:type="paragraph" w:customStyle="1" w:styleId="DDSection">
    <w:name w:val="DD Section"/>
    <w:basedOn w:val="Heading2"/>
    <w:link w:val="DDSectionChar"/>
    <w:qFormat/>
    <w:rsid w:val="00AC1066"/>
    <w:pPr>
      <w:suppressAutoHyphens/>
      <w:spacing w:before="200" w:after="120" w:line="276" w:lineRule="auto"/>
      <w:jc w:val="both"/>
    </w:pPr>
    <w:rPr>
      <w:rFonts w:ascii="Calibri" w:eastAsia="Times New Roman" w:hAnsi="Calibri" w:cs="Times New Roman"/>
      <w:b/>
      <w:bCs/>
      <w:i/>
      <w:iCs/>
      <w:color w:val="5B9BD5"/>
      <w:lang w:val="en-US" w:eastAsia="ar-SA"/>
    </w:rPr>
  </w:style>
  <w:style w:type="character" w:customStyle="1" w:styleId="DDSectionChar">
    <w:name w:val="DD Section Char"/>
    <w:link w:val="DDSection"/>
    <w:rsid w:val="00AC1066"/>
    <w:rPr>
      <w:rFonts w:ascii="Calibri" w:eastAsia="Times New Roman" w:hAnsi="Calibri" w:cs="Times New Roman"/>
      <w:b/>
      <w:bCs/>
      <w:i/>
      <w:iCs/>
      <w:color w:val="5B9BD5"/>
      <w:sz w:val="26"/>
      <w:szCs w:val="26"/>
      <w:lang w:val="en-US" w:eastAsia="ar-SA"/>
    </w:rPr>
  </w:style>
  <w:style w:type="character" w:customStyle="1" w:styleId="Heading2Char">
    <w:name w:val="Heading 2 Char"/>
    <w:basedOn w:val="DefaultParagraphFont"/>
    <w:link w:val="Heading2"/>
    <w:uiPriority w:val="9"/>
    <w:semiHidden/>
    <w:rsid w:val="00AC1066"/>
    <w:rPr>
      <w:rFonts w:asciiTheme="majorHAnsi" w:eastAsiaTheme="majorEastAsia" w:hAnsiTheme="majorHAnsi" w:cstheme="majorBidi"/>
      <w:color w:val="2E74B5" w:themeColor="accent1" w:themeShade="BF"/>
      <w:sz w:val="26"/>
      <w:szCs w:val="26"/>
    </w:rPr>
  </w:style>
  <w:style w:type="paragraph" w:styleId="Caption">
    <w:name w:val="caption"/>
    <w:aliases w:val="Table legend,Tab_Überschrift,Figure reference,Tab_†berschrift,Beschriftung Char2,Beschriftung Char1 Char1,Beschriftung Char Char Char1,Beschriftung Char1 Char Char,Beschriftung Char Char Char Char,Beschriftung Char Char1 Char,Table title"/>
    <w:basedOn w:val="Normal"/>
    <w:next w:val="Normal"/>
    <w:link w:val="CaptionChar"/>
    <w:uiPriority w:val="35"/>
    <w:qFormat/>
    <w:rsid w:val="00AC1066"/>
    <w:pPr>
      <w:suppressAutoHyphens/>
      <w:spacing w:after="200" w:line="276" w:lineRule="auto"/>
      <w:jc w:val="both"/>
    </w:pPr>
    <w:rPr>
      <w:rFonts w:ascii="Calibri" w:eastAsia="Calibri" w:hAnsi="Calibri" w:cs="Times New Roman"/>
      <w:iCs/>
      <w:color w:val="404040"/>
      <w:sz w:val="20"/>
      <w:szCs w:val="18"/>
      <w:lang w:val="en-US" w:eastAsia="ar-SA"/>
    </w:rPr>
  </w:style>
  <w:style w:type="character" w:customStyle="1" w:styleId="CaptionChar">
    <w:name w:val="Caption Char"/>
    <w:aliases w:val="Table legend Char,Tab_Überschrift Char,Figure reference Char,Tab_†berschrift Char,Beschriftung Char2 Char,Beschriftung Char1 Char1 Char,Beschriftung Char Char Char1 Char,Beschriftung Char1 Char Char Char,Beschriftung Char Char1 Char Char"/>
    <w:link w:val="Caption"/>
    <w:uiPriority w:val="35"/>
    <w:rsid w:val="00AC1066"/>
    <w:rPr>
      <w:rFonts w:ascii="Calibri" w:eastAsia="Calibri" w:hAnsi="Calibri" w:cs="Times New Roman"/>
      <w:iCs/>
      <w:color w:val="404040"/>
      <w:sz w:val="20"/>
      <w:szCs w:val="18"/>
      <w:lang w:val="en-US" w:eastAsia="ar-SA"/>
    </w:rPr>
  </w:style>
  <w:style w:type="paragraph" w:styleId="Header">
    <w:name w:val="header"/>
    <w:basedOn w:val="Normal"/>
    <w:link w:val="HeaderChar"/>
    <w:uiPriority w:val="99"/>
    <w:unhideWhenUsed/>
    <w:rsid w:val="00C85F99"/>
    <w:pPr>
      <w:tabs>
        <w:tab w:val="center" w:pos="4536"/>
        <w:tab w:val="right" w:pos="9072"/>
      </w:tabs>
      <w:spacing w:after="0" w:line="240" w:lineRule="auto"/>
    </w:pPr>
  </w:style>
  <w:style w:type="character" w:customStyle="1" w:styleId="HeaderChar">
    <w:name w:val="Header Char"/>
    <w:basedOn w:val="DefaultParagraphFont"/>
    <w:link w:val="Header"/>
    <w:uiPriority w:val="99"/>
    <w:rsid w:val="00C85F99"/>
  </w:style>
  <w:style w:type="paragraph" w:styleId="Footer">
    <w:name w:val="footer"/>
    <w:basedOn w:val="Normal"/>
    <w:link w:val="FooterChar"/>
    <w:uiPriority w:val="99"/>
    <w:unhideWhenUsed/>
    <w:rsid w:val="00C85F99"/>
    <w:pPr>
      <w:tabs>
        <w:tab w:val="center" w:pos="4536"/>
        <w:tab w:val="right" w:pos="9072"/>
      </w:tabs>
      <w:spacing w:after="0" w:line="240" w:lineRule="auto"/>
    </w:pPr>
  </w:style>
  <w:style w:type="character" w:customStyle="1" w:styleId="FooterChar">
    <w:name w:val="Footer Char"/>
    <w:basedOn w:val="DefaultParagraphFont"/>
    <w:link w:val="Footer"/>
    <w:uiPriority w:val="99"/>
    <w:rsid w:val="00C85F99"/>
  </w:style>
  <w:style w:type="paragraph" w:styleId="ListParagraph">
    <w:name w:val="List Paragraph"/>
    <w:basedOn w:val="Normal"/>
    <w:uiPriority w:val="34"/>
    <w:qFormat/>
    <w:rsid w:val="00A63DC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chart" Target="charts/chart1.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Column1</c:v>
                </c:pt>
              </c:strCache>
            </c:strRef>
          </c:tx>
          <c:dPt>
            <c:idx val="0"/>
            <c:bubble3D val="0"/>
            <c:spPr>
              <a:solidFill>
                <a:schemeClr val="accent1"/>
              </a:solidFill>
              <a:ln w="14217">
                <a:solidFill>
                  <a:schemeClr val="lt1"/>
                </a:solidFill>
              </a:ln>
              <a:effectLst/>
            </c:spPr>
            <c:extLst xmlns:c16r2="http://schemas.microsoft.com/office/drawing/2015/06/chart">
              <c:ext xmlns:c16="http://schemas.microsoft.com/office/drawing/2014/chart" uri="{C3380CC4-5D6E-409C-BE32-E72D297353CC}">
                <c16:uniqueId val="{00000001-516B-4471-9985-F39E45EF357F}"/>
              </c:ext>
            </c:extLst>
          </c:dPt>
          <c:dPt>
            <c:idx val="1"/>
            <c:bubble3D val="0"/>
            <c:spPr>
              <a:solidFill>
                <a:schemeClr val="accent2"/>
              </a:solidFill>
              <a:ln w="14217">
                <a:solidFill>
                  <a:schemeClr val="lt1"/>
                </a:solidFill>
              </a:ln>
              <a:effectLst/>
            </c:spPr>
            <c:extLst xmlns:c16r2="http://schemas.microsoft.com/office/drawing/2015/06/chart">
              <c:ext xmlns:c16="http://schemas.microsoft.com/office/drawing/2014/chart" uri="{C3380CC4-5D6E-409C-BE32-E72D297353CC}">
                <c16:uniqueId val="{00000003-516B-4471-9985-F39E45EF357F}"/>
              </c:ext>
            </c:extLst>
          </c:dPt>
          <c:dPt>
            <c:idx val="2"/>
            <c:bubble3D val="0"/>
            <c:spPr>
              <a:solidFill>
                <a:schemeClr val="accent3"/>
              </a:solidFill>
              <a:ln w="14217">
                <a:solidFill>
                  <a:schemeClr val="lt1"/>
                </a:solidFill>
              </a:ln>
              <a:effectLst/>
            </c:spPr>
            <c:extLst xmlns:c16r2="http://schemas.microsoft.com/office/drawing/2015/06/chart">
              <c:ext xmlns:c16="http://schemas.microsoft.com/office/drawing/2014/chart" uri="{C3380CC4-5D6E-409C-BE32-E72D297353CC}">
                <c16:uniqueId val="{00000005-516B-4471-9985-F39E45EF357F}"/>
              </c:ext>
            </c:extLst>
          </c:dPt>
          <c:dPt>
            <c:idx val="3"/>
            <c:bubble3D val="0"/>
            <c:spPr>
              <a:solidFill>
                <a:schemeClr val="accent4"/>
              </a:solidFill>
              <a:ln w="14217">
                <a:solidFill>
                  <a:schemeClr val="lt1"/>
                </a:solidFill>
              </a:ln>
              <a:effectLst/>
            </c:spPr>
            <c:extLst xmlns:c16r2="http://schemas.microsoft.com/office/drawing/2015/06/chart">
              <c:ext xmlns:c16="http://schemas.microsoft.com/office/drawing/2014/chart" uri="{C3380CC4-5D6E-409C-BE32-E72D297353CC}">
                <c16:uniqueId val="{00000007-516B-4471-9985-F39E45EF357F}"/>
              </c:ext>
            </c:extLst>
          </c:dPt>
          <c:dPt>
            <c:idx val="4"/>
            <c:bubble3D val="0"/>
            <c:spPr>
              <a:solidFill>
                <a:schemeClr val="accent5"/>
              </a:solidFill>
              <a:ln w="14217">
                <a:solidFill>
                  <a:schemeClr val="lt1"/>
                </a:solidFill>
              </a:ln>
              <a:effectLst/>
            </c:spPr>
            <c:extLst xmlns:c16r2="http://schemas.microsoft.com/office/drawing/2015/06/chart">
              <c:ext xmlns:c16="http://schemas.microsoft.com/office/drawing/2014/chart" uri="{C3380CC4-5D6E-409C-BE32-E72D297353CC}">
                <c16:uniqueId val="{00000009-516B-4471-9985-F39E45EF357F}"/>
              </c:ext>
            </c:extLst>
          </c:dPt>
          <c:dLbls>
            <c:spPr>
              <a:noFill/>
              <a:ln w="18956">
                <a:noFill/>
              </a:ln>
            </c:spPr>
            <c:txPr>
              <a:bodyPr rot="0" spcFirstLastPara="1" vertOverflow="ellipsis" vert="horz" wrap="square" lIns="38100" tIns="19050" rIns="38100" bIns="19050" anchor="ctr" anchorCtr="1">
                <a:spAutoFit/>
              </a:bodyPr>
              <a:lstStyle/>
              <a:p>
                <a:pPr>
                  <a:defRPr sz="784"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1"/>
            <c:showBubbleSize val="0"/>
            <c:showLeaderLines val="1"/>
            <c:leaderLines>
              <c:spPr>
                <a:ln w="7108"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Sheet1!$A$2:$A$6</c:f>
              <c:strCache>
                <c:ptCount val="5"/>
                <c:pt idx="0">
                  <c:v>Școli postliceale și de maiștri</c:v>
                </c:pt>
                <c:pt idx="1">
                  <c:v>Școli profesionale</c:v>
                </c:pt>
                <c:pt idx="2">
                  <c:v>Colegii și licee</c:v>
                </c:pt>
                <c:pt idx="3">
                  <c:v>Școli generale</c:v>
                </c:pt>
                <c:pt idx="4">
                  <c:v>Grădinițe</c:v>
                </c:pt>
              </c:strCache>
            </c:strRef>
          </c:cat>
          <c:val>
            <c:numRef>
              <c:f>Sheet1!$B$2:$B$6</c:f>
              <c:numCache>
                <c:formatCode>General</c:formatCode>
                <c:ptCount val="5"/>
                <c:pt idx="0">
                  <c:v>1020</c:v>
                </c:pt>
                <c:pt idx="1">
                  <c:v>308</c:v>
                </c:pt>
                <c:pt idx="2">
                  <c:v>6926</c:v>
                </c:pt>
                <c:pt idx="3">
                  <c:v>15364</c:v>
                </c:pt>
                <c:pt idx="4">
                  <c:v>4955</c:v>
                </c:pt>
              </c:numCache>
            </c:numRef>
          </c:val>
          <c:extLst xmlns:c16r2="http://schemas.microsoft.com/office/drawing/2015/06/chart">
            <c:ext xmlns:c16="http://schemas.microsoft.com/office/drawing/2014/chart" uri="{C3380CC4-5D6E-409C-BE32-E72D297353CC}">
              <c16:uniqueId val="{0000000A-516B-4471-9985-F39E45EF357F}"/>
            </c:ext>
          </c:extLst>
        </c:ser>
        <c:dLbls>
          <c:showLegendKey val="0"/>
          <c:showVal val="0"/>
          <c:showCatName val="0"/>
          <c:showSerName val="0"/>
          <c:showPercent val="0"/>
          <c:showBubbleSize val="0"/>
          <c:showLeaderLines val="1"/>
        </c:dLbls>
        <c:firstSliceAng val="0"/>
      </c:pieChart>
      <c:spPr>
        <a:noFill/>
        <a:ln w="25425">
          <a:noFill/>
        </a:ln>
      </c:spPr>
    </c:plotArea>
    <c:legend>
      <c:legendPos val="r"/>
      <c:layout/>
      <c:overlay val="0"/>
      <c:spPr>
        <a:noFill/>
        <a:ln w="18956">
          <a:noFill/>
        </a:ln>
      </c:spPr>
      <c:txPr>
        <a:bodyPr rot="0" spcFirstLastPara="1" vertOverflow="ellipsis" vert="horz" wrap="square" anchor="ctr" anchorCtr="1"/>
        <a:lstStyle/>
        <a:p>
          <a:pPr>
            <a:defRPr sz="747" b="0" i="0" u="none" strike="noStrike" kern="1200" baseline="0">
              <a:solidFill>
                <a:sysClr val="windowText" lastClr="000000"/>
              </a:solidFill>
              <a:latin typeface="+mn-lt"/>
              <a:ea typeface="+mn-ea"/>
              <a:cs typeface="+mn-cs"/>
            </a:defRPr>
          </a:pPr>
          <a:endParaRPr lang="en-US"/>
        </a:p>
      </c:txPr>
    </c:legend>
    <c:plotVisOnly val="1"/>
    <c:dispBlanksAs val="zero"/>
    <c:showDLblsOverMax val="0"/>
  </c:chart>
  <c:spPr>
    <a:solidFill>
      <a:schemeClr val="bg1"/>
    </a:solidFill>
    <a:ln w="7108"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6</TotalTime>
  <Pages>26</Pages>
  <Words>6382</Words>
  <Characters>36378</Characters>
  <Application>Microsoft Office Word</Application>
  <DocSecurity>0</DocSecurity>
  <Lines>303</Lines>
  <Paragraphs>85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42675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Mirela Caraman</dc:creator>
  <cp:keywords/>
  <dc:description/>
  <cp:lastModifiedBy>Roxana Iacob</cp:lastModifiedBy>
  <cp:revision>6</cp:revision>
  <dcterms:created xsi:type="dcterms:W3CDTF">2017-12-21T14:03:00Z</dcterms:created>
  <dcterms:modified xsi:type="dcterms:W3CDTF">2020-11-04T06:51:00Z</dcterms:modified>
</cp:coreProperties>
</file>